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8AEEF7" w14:textId="77777777" w:rsidR="00B95A86" w:rsidRDefault="00E65B99">
      <w:pPr>
        <w:pStyle w:val="Subtitle"/>
        <w:spacing w:after="240"/>
      </w:pPr>
      <w:r>
        <w:rPr>
          <w:sz w:val="32"/>
          <w:szCs w:val="32"/>
        </w:rPr>
        <w:t>INSTRUCTIONS TO TENDERERS</w:t>
      </w:r>
    </w:p>
    <w:p w14:paraId="018AEEF8" w14:textId="77777777" w:rsidR="00B95A86" w:rsidRDefault="00E65B99">
      <w:pPr>
        <w:spacing w:after="240"/>
        <w:jc w:val="center"/>
        <w:rPr>
          <w:b/>
        </w:rPr>
      </w:pPr>
      <w:r>
        <w:t>&lt;</w:t>
      </w:r>
      <w:r>
        <w:rPr>
          <w:b/>
          <w:highlight w:val="yellow"/>
        </w:rPr>
        <w:t>Contract title</w:t>
      </w:r>
      <w:r>
        <w:rPr>
          <w:b/>
        </w:rPr>
        <w:t xml:space="preserve">&gt;  </w:t>
      </w:r>
    </w:p>
    <w:p w14:paraId="018AEEF9" w14:textId="77777777" w:rsidR="00B95A86" w:rsidRDefault="00E65B99">
      <w:pPr>
        <w:spacing w:after="240"/>
        <w:jc w:val="center"/>
        <w:rPr>
          <w:b/>
        </w:rPr>
      </w:pPr>
      <w:r>
        <w:t>&lt;</w:t>
      </w:r>
      <w:r>
        <w:rPr>
          <w:b/>
        </w:rPr>
        <w:t xml:space="preserve">Ref. number&gt; </w:t>
      </w:r>
    </w:p>
    <w:p w14:paraId="018AEEFA" w14:textId="52D17468" w:rsidR="00B95A86" w:rsidRDefault="00B95A86">
      <w:pPr>
        <w:pStyle w:val="Subtitle"/>
        <w:spacing w:after="240"/>
      </w:pPr>
    </w:p>
    <w:p w14:paraId="018AEEFB" w14:textId="77777777" w:rsidR="00B95A86" w:rsidRDefault="00E65B99">
      <w:pPr>
        <w:pStyle w:val="Subtitle"/>
        <w:spacing w:after="240"/>
        <w:jc w:val="both"/>
        <w:rPr>
          <w:sz w:val="22"/>
          <w:szCs w:val="22"/>
        </w:rPr>
      </w:pPr>
      <w:r>
        <w:rPr>
          <w:sz w:val="22"/>
          <w:szCs w:val="22"/>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14:paraId="018AEEFC" w14:textId="3493A5E6" w:rsidR="00B95A86" w:rsidRDefault="00E65B99" w:rsidP="009978C0">
      <w:pPr>
        <w:pStyle w:val="Subtitle"/>
        <w:spacing w:after="240"/>
        <w:jc w:val="both"/>
        <w:rPr>
          <w:sz w:val="22"/>
          <w:szCs w:val="22"/>
        </w:rPr>
      </w:pPr>
      <w:r>
        <w:rPr>
          <w:sz w:val="22"/>
          <w:szCs w:val="22"/>
        </w:rPr>
        <w:t>These instructions set out the rules for submitting, selecting and implementing contracts financed under this call for tenders, in conformity with the Practical Guide</w:t>
      </w:r>
      <w:r w:rsidR="009978C0">
        <w:rPr>
          <w:sz w:val="22"/>
          <w:szCs w:val="22"/>
        </w:rPr>
        <w:t xml:space="preserve"> (PRAG)</w:t>
      </w:r>
      <w:r>
        <w:rPr>
          <w:sz w:val="22"/>
          <w:szCs w:val="22"/>
        </w:rPr>
        <w:t xml:space="preserve">, available on the internet at this address: </w:t>
      </w:r>
      <w:r w:rsidR="009978C0">
        <w:rPr>
          <w:sz w:val="22"/>
          <w:szCs w:val="22"/>
        </w:rPr>
        <w:t xml:space="preserve"> </w:t>
      </w:r>
      <w:hyperlink r:id="rId7" w:history="1">
        <w:r w:rsidR="009978C0" w:rsidRPr="003103BC">
          <w:rPr>
            <w:rStyle w:val="Hyperlink"/>
            <w:sz w:val="22"/>
            <w:szCs w:val="22"/>
          </w:rPr>
          <w:t>https://wikis.ec.europa.eu/display/ExactExternalWiki/ePRAG</w:t>
        </w:r>
      </w:hyperlink>
      <w:r w:rsidR="009978C0">
        <w:rPr>
          <w:sz w:val="22"/>
          <w:szCs w:val="22"/>
        </w:rPr>
        <w:t xml:space="preserve"> </w:t>
      </w:r>
      <w:r>
        <w:rPr>
          <w:sz w:val="22"/>
          <w:szCs w:val="22"/>
        </w:rPr>
        <w:t xml:space="preserve">. </w:t>
      </w:r>
    </w:p>
    <w:p w14:paraId="018AEEFE" w14:textId="77777777" w:rsidR="00B95A86" w:rsidRDefault="00E65B99">
      <w:pPr>
        <w:keepNext/>
        <w:numPr>
          <w:ilvl w:val="0"/>
          <w:numId w:val="8"/>
        </w:numPr>
        <w:spacing w:before="120" w:after="120"/>
        <w:jc w:val="both"/>
        <w:rPr>
          <w:sz w:val="24"/>
          <w:szCs w:val="24"/>
        </w:rPr>
      </w:pPr>
      <w:r>
        <w:rPr>
          <w:b/>
          <w:sz w:val="24"/>
          <w:szCs w:val="24"/>
        </w:rPr>
        <w:t>Services to be provided</w:t>
      </w:r>
    </w:p>
    <w:p w14:paraId="018AEEFF" w14:textId="77777777" w:rsidR="00B95A86" w:rsidRDefault="00E65B99">
      <w:pPr>
        <w:spacing w:after="120"/>
        <w:jc w:val="both"/>
        <w:rPr>
          <w:sz w:val="22"/>
          <w:szCs w:val="22"/>
        </w:rPr>
      </w:pPr>
      <w:bookmarkStart w:id="0" w:name="_gjdgxs" w:colFirst="0" w:colLast="0"/>
      <w:bookmarkEnd w:id="0"/>
      <w:r>
        <w:rPr>
          <w:sz w:val="22"/>
          <w:szCs w:val="22"/>
        </w:rPr>
        <w:t>The services required by the Contracting Authority are described in the Terms of Reference. They are set out in Annex II to the draft contract, which forms Part B of this tender dossier.</w:t>
      </w:r>
    </w:p>
    <w:p w14:paraId="018AEF00" w14:textId="77777777" w:rsidR="00B95A86" w:rsidRDefault="00E65B99">
      <w:pPr>
        <w:keepNext/>
        <w:numPr>
          <w:ilvl w:val="0"/>
          <w:numId w:val="8"/>
        </w:numPr>
        <w:spacing w:before="120" w:after="120"/>
        <w:jc w:val="both"/>
        <w:rPr>
          <w:sz w:val="24"/>
          <w:szCs w:val="24"/>
        </w:rPr>
      </w:pPr>
      <w:r>
        <w:rPr>
          <w:b/>
          <w:sz w:val="24"/>
          <w:szCs w:val="24"/>
        </w:rPr>
        <w:t>Timetable</w:t>
      </w:r>
    </w:p>
    <w:tbl>
      <w:tblPr>
        <w:tblStyle w:val="a"/>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1972"/>
        <w:gridCol w:w="1572"/>
      </w:tblGrid>
      <w:tr w:rsidR="00B95A86" w14:paraId="018AEF04" w14:textId="77777777">
        <w:tc>
          <w:tcPr>
            <w:tcW w:w="4820" w:type="dxa"/>
            <w:tcBorders>
              <w:bottom w:val="nil"/>
            </w:tcBorders>
            <w:shd w:val="clear" w:color="auto" w:fill="auto"/>
          </w:tcPr>
          <w:p w14:paraId="018AEF01" w14:textId="77777777" w:rsidR="00B95A86" w:rsidRDefault="00B95A86">
            <w:pPr>
              <w:rPr>
                <w:sz w:val="22"/>
                <w:szCs w:val="22"/>
              </w:rPr>
            </w:pPr>
          </w:p>
        </w:tc>
        <w:tc>
          <w:tcPr>
            <w:tcW w:w="1972" w:type="dxa"/>
            <w:shd w:val="clear" w:color="auto" w:fill="E6E6E6"/>
          </w:tcPr>
          <w:p w14:paraId="018AEF02" w14:textId="77777777" w:rsidR="00B95A86" w:rsidRDefault="00E65B99">
            <w:pPr>
              <w:jc w:val="center"/>
              <w:rPr>
                <w:sz w:val="22"/>
                <w:szCs w:val="22"/>
              </w:rPr>
            </w:pPr>
            <w:r>
              <w:rPr>
                <w:b/>
                <w:sz w:val="22"/>
                <w:szCs w:val="22"/>
              </w:rPr>
              <w:t>DATE</w:t>
            </w:r>
          </w:p>
        </w:tc>
        <w:tc>
          <w:tcPr>
            <w:tcW w:w="1572" w:type="dxa"/>
            <w:tcBorders>
              <w:bottom w:val="nil"/>
            </w:tcBorders>
            <w:shd w:val="clear" w:color="auto" w:fill="E6E6E6"/>
          </w:tcPr>
          <w:p w14:paraId="018AEF03" w14:textId="77777777" w:rsidR="00B95A86" w:rsidRDefault="00E65B99">
            <w:pPr>
              <w:jc w:val="center"/>
              <w:rPr>
                <w:sz w:val="22"/>
                <w:szCs w:val="22"/>
              </w:rPr>
            </w:pPr>
            <w:r>
              <w:rPr>
                <w:b/>
                <w:sz w:val="22"/>
                <w:szCs w:val="22"/>
              </w:rPr>
              <w:t>TIME*</w:t>
            </w:r>
          </w:p>
        </w:tc>
      </w:tr>
      <w:tr w:rsidR="00B95A86" w14:paraId="018AEF10" w14:textId="77777777">
        <w:tc>
          <w:tcPr>
            <w:tcW w:w="4820" w:type="dxa"/>
            <w:shd w:val="clear" w:color="auto" w:fill="E6E6E6"/>
          </w:tcPr>
          <w:p w14:paraId="018AEF0D" w14:textId="77777777" w:rsidR="00B95A86" w:rsidRDefault="00E65B99">
            <w:pPr>
              <w:spacing w:before="120" w:after="120"/>
              <w:rPr>
                <w:sz w:val="22"/>
                <w:szCs w:val="22"/>
              </w:rPr>
            </w:pPr>
            <w:r>
              <w:rPr>
                <w:b/>
                <w:sz w:val="22"/>
                <w:szCs w:val="22"/>
              </w:rPr>
              <w:t>Deadline for requesting clarification from the Contracting Authority</w:t>
            </w:r>
          </w:p>
        </w:tc>
        <w:tc>
          <w:tcPr>
            <w:tcW w:w="1972" w:type="dxa"/>
          </w:tcPr>
          <w:p w14:paraId="018AEF0E" w14:textId="77777777" w:rsidR="00B95A86" w:rsidRDefault="00E65B99">
            <w:pPr>
              <w:spacing w:before="120" w:after="120"/>
              <w:jc w:val="center"/>
              <w:rPr>
                <w:sz w:val="22"/>
                <w:szCs w:val="22"/>
              </w:rPr>
            </w:pPr>
            <w:r>
              <w:rPr>
                <w:sz w:val="22"/>
                <w:szCs w:val="22"/>
              </w:rPr>
              <w:t xml:space="preserve">&lt; </w:t>
            </w:r>
            <w:r>
              <w:rPr>
                <w:sz w:val="22"/>
                <w:szCs w:val="22"/>
                <w:highlight w:val="yellow"/>
              </w:rPr>
              <w:t>Date 21 days before deadline for tenders</w:t>
            </w:r>
            <w:r>
              <w:rPr>
                <w:sz w:val="22"/>
                <w:szCs w:val="22"/>
              </w:rPr>
              <w:t xml:space="preserve"> &gt;</w:t>
            </w:r>
          </w:p>
        </w:tc>
        <w:tc>
          <w:tcPr>
            <w:tcW w:w="1572" w:type="dxa"/>
          </w:tcPr>
          <w:p w14:paraId="018AEF0F" w14:textId="77777777" w:rsidR="00B95A86" w:rsidRDefault="00E65B99">
            <w:pPr>
              <w:spacing w:before="120" w:after="120"/>
              <w:jc w:val="center"/>
              <w:rPr>
                <w:sz w:val="22"/>
                <w:szCs w:val="22"/>
              </w:rPr>
            </w:pPr>
            <w:r>
              <w:rPr>
                <w:sz w:val="22"/>
                <w:szCs w:val="22"/>
              </w:rPr>
              <w:t xml:space="preserve">&lt; </w:t>
            </w:r>
            <w:r>
              <w:rPr>
                <w:sz w:val="22"/>
                <w:szCs w:val="22"/>
                <w:highlight w:val="yellow"/>
              </w:rPr>
              <w:t>Time</w:t>
            </w:r>
            <w:r>
              <w:rPr>
                <w:sz w:val="22"/>
                <w:szCs w:val="22"/>
              </w:rPr>
              <w:t xml:space="preserve"> &gt;</w:t>
            </w:r>
          </w:p>
        </w:tc>
      </w:tr>
      <w:tr w:rsidR="00B95A86" w14:paraId="018AEF14" w14:textId="77777777">
        <w:tc>
          <w:tcPr>
            <w:tcW w:w="4820" w:type="dxa"/>
            <w:shd w:val="clear" w:color="auto" w:fill="E6E6E6"/>
          </w:tcPr>
          <w:p w14:paraId="018AEF11" w14:textId="77777777" w:rsidR="00B95A86" w:rsidRDefault="00E65B99">
            <w:pPr>
              <w:spacing w:before="120" w:after="120"/>
              <w:rPr>
                <w:sz w:val="22"/>
                <w:szCs w:val="22"/>
              </w:rPr>
            </w:pPr>
            <w:r>
              <w:rPr>
                <w:b/>
                <w:sz w:val="22"/>
                <w:szCs w:val="22"/>
              </w:rPr>
              <w:t xml:space="preserve">Last date for the Contracting Authority to issue clarification </w:t>
            </w:r>
          </w:p>
        </w:tc>
        <w:tc>
          <w:tcPr>
            <w:tcW w:w="1972" w:type="dxa"/>
          </w:tcPr>
          <w:p w14:paraId="018AEF12" w14:textId="77777777" w:rsidR="00B95A86" w:rsidRDefault="00E65B99">
            <w:pPr>
              <w:spacing w:before="120" w:after="120"/>
              <w:jc w:val="center"/>
              <w:rPr>
                <w:sz w:val="22"/>
                <w:szCs w:val="22"/>
              </w:rPr>
            </w:pPr>
            <w:r>
              <w:rPr>
                <w:sz w:val="22"/>
                <w:szCs w:val="22"/>
              </w:rPr>
              <w:t xml:space="preserve">&lt; </w:t>
            </w:r>
            <w:r>
              <w:rPr>
                <w:sz w:val="22"/>
                <w:szCs w:val="22"/>
                <w:highlight w:val="yellow"/>
              </w:rPr>
              <w:t>Date 11 days before deadline for tenders</w:t>
            </w:r>
            <w:r>
              <w:rPr>
                <w:sz w:val="22"/>
                <w:szCs w:val="22"/>
              </w:rPr>
              <w:t xml:space="preserve"> &gt;</w:t>
            </w:r>
          </w:p>
        </w:tc>
        <w:tc>
          <w:tcPr>
            <w:tcW w:w="1572" w:type="dxa"/>
          </w:tcPr>
          <w:p w14:paraId="018AEF13" w14:textId="77777777" w:rsidR="00B95A86" w:rsidRDefault="00E65B99">
            <w:pPr>
              <w:spacing w:before="120" w:after="120"/>
              <w:jc w:val="center"/>
              <w:rPr>
                <w:sz w:val="22"/>
                <w:szCs w:val="22"/>
              </w:rPr>
            </w:pPr>
            <w:r>
              <w:rPr>
                <w:sz w:val="22"/>
                <w:szCs w:val="22"/>
              </w:rPr>
              <w:t>-</w:t>
            </w:r>
          </w:p>
        </w:tc>
      </w:tr>
      <w:tr w:rsidR="00B95A86" w14:paraId="018AEF18" w14:textId="77777777">
        <w:tc>
          <w:tcPr>
            <w:tcW w:w="4820" w:type="dxa"/>
            <w:shd w:val="clear" w:color="auto" w:fill="E6E6E6"/>
          </w:tcPr>
          <w:p w14:paraId="018AEF15" w14:textId="77777777" w:rsidR="00B95A86" w:rsidRDefault="00E65B99">
            <w:pPr>
              <w:spacing w:before="120" w:after="120"/>
              <w:rPr>
                <w:sz w:val="22"/>
                <w:szCs w:val="22"/>
              </w:rPr>
            </w:pPr>
            <w:r>
              <w:rPr>
                <w:b/>
                <w:sz w:val="22"/>
                <w:szCs w:val="22"/>
              </w:rPr>
              <w:t>Deadline for submitting tenders</w:t>
            </w:r>
          </w:p>
        </w:tc>
        <w:tc>
          <w:tcPr>
            <w:tcW w:w="1972" w:type="dxa"/>
          </w:tcPr>
          <w:p w14:paraId="018AEF16" w14:textId="77777777" w:rsidR="00B95A86" w:rsidRDefault="00E65B99">
            <w:pPr>
              <w:spacing w:before="120" w:after="120"/>
              <w:jc w:val="center"/>
              <w:rPr>
                <w:sz w:val="22"/>
                <w:szCs w:val="22"/>
              </w:rPr>
            </w:pPr>
            <w:r>
              <w:rPr>
                <w:sz w:val="22"/>
                <w:szCs w:val="22"/>
              </w:rPr>
              <w:t xml:space="preserve">&lt; </w:t>
            </w:r>
            <w:r>
              <w:rPr>
                <w:sz w:val="22"/>
                <w:szCs w:val="22"/>
                <w:highlight w:val="yellow"/>
              </w:rPr>
              <w:t>Date</w:t>
            </w:r>
            <w:r>
              <w:rPr>
                <w:sz w:val="22"/>
                <w:szCs w:val="22"/>
              </w:rPr>
              <w:t xml:space="preserve"> &gt;</w:t>
            </w:r>
          </w:p>
        </w:tc>
        <w:tc>
          <w:tcPr>
            <w:tcW w:w="1572" w:type="dxa"/>
          </w:tcPr>
          <w:p w14:paraId="018AEF17" w14:textId="77777777" w:rsidR="00B95A86" w:rsidRDefault="00E65B99">
            <w:pPr>
              <w:spacing w:before="120" w:after="120"/>
              <w:jc w:val="center"/>
              <w:rPr>
                <w:sz w:val="22"/>
                <w:szCs w:val="22"/>
              </w:rPr>
            </w:pPr>
            <w:r>
              <w:rPr>
                <w:sz w:val="22"/>
                <w:szCs w:val="22"/>
              </w:rPr>
              <w:t xml:space="preserve">&lt; </w:t>
            </w:r>
            <w:r>
              <w:rPr>
                <w:sz w:val="22"/>
                <w:szCs w:val="22"/>
                <w:highlight w:val="yellow"/>
              </w:rPr>
              <w:t>Time</w:t>
            </w:r>
            <w:r>
              <w:rPr>
                <w:sz w:val="22"/>
                <w:szCs w:val="22"/>
              </w:rPr>
              <w:t xml:space="preserve"> &gt;</w:t>
            </w:r>
          </w:p>
        </w:tc>
      </w:tr>
      <w:tr w:rsidR="00B95A86" w14:paraId="018AEF24" w14:textId="77777777">
        <w:tc>
          <w:tcPr>
            <w:tcW w:w="4820" w:type="dxa"/>
            <w:shd w:val="clear" w:color="auto" w:fill="E6E6E6"/>
          </w:tcPr>
          <w:p w14:paraId="018AEF21" w14:textId="77777777" w:rsidR="00B95A86" w:rsidRDefault="00E65B99">
            <w:pPr>
              <w:spacing w:before="120" w:after="120"/>
              <w:rPr>
                <w:sz w:val="22"/>
                <w:szCs w:val="22"/>
              </w:rPr>
            </w:pPr>
            <w:r>
              <w:rPr>
                <w:b/>
                <w:sz w:val="22"/>
                <w:szCs w:val="22"/>
              </w:rPr>
              <w:t xml:space="preserve">Notification of award </w:t>
            </w:r>
          </w:p>
        </w:tc>
        <w:tc>
          <w:tcPr>
            <w:tcW w:w="1972" w:type="dxa"/>
          </w:tcPr>
          <w:p w14:paraId="018AEF22" w14:textId="77777777" w:rsidR="00B95A86" w:rsidRDefault="00E65B99">
            <w:pPr>
              <w:spacing w:before="120" w:after="120"/>
              <w:jc w:val="center"/>
              <w:rPr>
                <w:sz w:val="22"/>
                <w:szCs w:val="22"/>
              </w:rPr>
            </w:pPr>
            <w:r>
              <w:rPr>
                <w:sz w:val="22"/>
                <w:szCs w:val="22"/>
              </w:rPr>
              <w:t xml:space="preserve">&lt; </w:t>
            </w:r>
            <w:r>
              <w:rPr>
                <w:sz w:val="22"/>
                <w:szCs w:val="22"/>
                <w:highlight w:val="yellow"/>
              </w:rPr>
              <w:t>Date at most 90 days after deadline for tenders</w:t>
            </w:r>
            <w:r>
              <w:rPr>
                <w:sz w:val="22"/>
                <w:szCs w:val="22"/>
              </w:rPr>
              <w:t xml:space="preserve"> &gt; </w:t>
            </w:r>
            <w:r>
              <w:rPr>
                <w:sz w:val="22"/>
                <w:szCs w:val="22"/>
                <w:vertAlign w:val="superscript"/>
              </w:rPr>
              <w:t></w:t>
            </w:r>
          </w:p>
        </w:tc>
        <w:tc>
          <w:tcPr>
            <w:tcW w:w="1572" w:type="dxa"/>
          </w:tcPr>
          <w:p w14:paraId="018AEF23" w14:textId="77777777" w:rsidR="00B95A86" w:rsidRDefault="00E65B99">
            <w:pPr>
              <w:spacing w:before="120" w:after="120"/>
              <w:jc w:val="center"/>
              <w:rPr>
                <w:sz w:val="22"/>
                <w:szCs w:val="22"/>
              </w:rPr>
            </w:pPr>
            <w:r>
              <w:rPr>
                <w:sz w:val="22"/>
                <w:szCs w:val="22"/>
              </w:rPr>
              <w:t>-</w:t>
            </w:r>
          </w:p>
        </w:tc>
      </w:tr>
      <w:tr w:rsidR="00B95A86" w14:paraId="018AEF28" w14:textId="77777777">
        <w:tc>
          <w:tcPr>
            <w:tcW w:w="4820" w:type="dxa"/>
            <w:shd w:val="clear" w:color="auto" w:fill="E6E6E6"/>
          </w:tcPr>
          <w:p w14:paraId="018AEF25" w14:textId="77777777" w:rsidR="00B95A86" w:rsidRDefault="00E65B99">
            <w:pPr>
              <w:spacing w:before="120" w:after="120"/>
              <w:rPr>
                <w:sz w:val="22"/>
                <w:szCs w:val="22"/>
              </w:rPr>
            </w:pPr>
            <w:r>
              <w:rPr>
                <w:b/>
                <w:sz w:val="22"/>
                <w:szCs w:val="22"/>
              </w:rPr>
              <w:t>Contract signature</w:t>
            </w:r>
          </w:p>
        </w:tc>
        <w:tc>
          <w:tcPr>
            <w:tcW w:w="1972" w:type="dxa"/>
          </w:tcPr>
          <w:p w14:paraId="018AEF26" w14:textId="77777777" w:rsidR="00B95A86" w:rsidRDefault="00E65B99">
            <w:pPr>
              <w:spacing w:before="120" w:after="120"/>
              <w:jc w:val="center"/>
              <w:rPr>
                <w:sz w:val="22"/>
                <w:szCs w:val="22"/>
              </w:rPr>
            </w:pPr>
            <w:r>
              <w:rPr>
                <w:sz w:val="22"/>
                <w:szCs w:val="22"/>
              </w:rPr>
              <w:t xml:space="preserve">&lt; </w:t>
            </w:r>
            <w:r>
              <w:rPr>
                <w:sz w:val="22"/>
                <w:szCs w:val="22"/>
                <w:highlight w:val="yellow"/>
              </w:rPr>
              <w:t>Date at most 150 days after deadline</w:t>
            </w:r>
            <w:r>
              <w:rPr>
                <w:sz w:val="22"/>
                <w:szCs w:val="22"/>
              </w:rPr>
              <w:t xml:space="preserve"> </w:t>
            </w:r>
            <w:r>
              <w:rPr>
                <w:sz w:val="22"/>
                <w:szCs w:val="22"/>
                <w:highlight w:val="yellow"/>
              </w:rPr>
              <w:t>for tenders</w:t>
            </w:r>
            <w:r>
              <w:rPr>
                <w:sz w:val="22"/>
                <w:szCs w:val="22"/>
              </w:rPr>
              <w:t xml:space="preserve"> &gt; </w:t>
            </w:r>
            <w:r>
              <w:rPr>
                <w:sz w:val="22"/>
                <w:szCs w:val="22"/>
                <w:vertAlign w:val="superscript"/>
              </w:rPr>
              <w:t></w:t>
            </w:r>
          </w:p>
        </w:tc>
        <w:tc>
          <w:tcPr>
            <w:tcW w:w="1572" w:type="dxa"/>
          </w:tcPr>
          <w:p w14:paraId="018AEF27" w14:textId="77777777" w:rsidR="00B95A86" w:rsidRDefault="00E65B99">
            <w:pPr>
              <w:spacing w:before="120" w:after="120"/>
              <w:jc w:val="center"/>
              <w:rPr>
                <w:sz w:val="22"/>
                <w:szCs w:val="22"/>
              </w:rPr>
            </w:pPr>
            <w:r>
              <w:rPr>
                <w:sz w:val="22"/>
                <w:szCs w:val="22"/>
              </w:rPr>
              <w:t>-</w:t>
            </w:r>
          </w:p>
        </w:tc>
      </w:tr>
      <w:tr w:rsidR="00B95A86" w14:paraId="018AEF2C" w14:textId="77777777">
        <w:tc>
          <w:tcPr>
            <w:tcW w:w="4820" w:type="dxa"/>
            <w:shd w:val="clear" w:color="auto" w:fill="E6E6E6"/>
          </w:tcPr>
          <w:p w14:paraId="018AEF29" w14:textId="77777777" w:rsidR="00B95A86" w:rsidRDefault="00E65B99">
            <w:pPr>
              <w:spacing w:before="120" w:after="120"/>
              <w:rPr>
                <w:sz w:val="22"/>
                <w:szCs w:val="22"/>
              </w:rPr>
            </w:pPr>
            <w:r>
              <w:rPr>
                <w:b/>
                <w:sz w:val="22"/>
                <w:szCs w:val="22"/>
              </w:rPr>
              <w:t>Start date</w:t>
            </w:r>
          </w:p>
        </w:tc>
        <w:tc>
          <w:tcPr>
            <w:tcW w:w="1972" w:type="dxa"/>
          </w:tcPr>
          <w:p w14:paraId="018AEF2A" w14:textId="77777777" w:rsidR="00B95A86" w:rsidRDefault="00E65B99">
            <w:pPr>
              <w:spacing w:before="120" w:after="120"/>
              <w:jc w:val="center"/>
              <w:rPr>
                <w:sz w:val="22"/>
                <w:szCs w:val="22"/>
              </w:rPr>
            </w:pPr>
            <w:r>
              <w:rPr>
                <w:sz w:val="22"/>
                <w:szCs w:val="22"/>
              </w:rPr>
              <w:t xml:space="preserve">&lt; </w:t>
            </w:r>
            <w:r>
              <w:rPr>
                <w:sz w:val="22"/>
                <w:szCs w:val="22"/>
                <w:highlight w:val="yellow"/>
              </w:rPr>
              <w:t>Date</w:t>
            </w:r>
            <w:r>
              <w:rPr>
                <w:sz w:val="22"/>
                <w:szCs w:val="22"/>
              </w:rPr>
              <w:t xml:space="preserve"> &gt; </w:t>
            </w:r>
            <w:r>
              <w:rPr>
                <w:sz w:val="22"/>
                <w:szCs w:val="22"/>
                <w:vertAlign w:val="superscript"/>
              </w:rPr>
              <w:t></w:t>
            </w:r>
          </w:p>
        </w:tc>
        <w:tc>
          <w:tcPr>
            <w:tcW w:w="1572" w:type="dxa"/>
          </w:tcPr>
          <w:p w14:paraId="018AEF2B" w14:textId="77777777" w:rsidR="00B95A86" w:rsidRDefault="00E65B99">
            <w:pPr>
              <w:spacing w:before="120" w:after="120"/>
              <w:jc w:val="center"/>
              <w:rPr>
                <w:sz w:val="22"/>
                <w:szCs w:val="22"/>
              </w:rPr>
            </w:pPr>
            <w:r>
              <w:rPr>
                <w:sz w:val="22"/>
                <w:szCs w:val="22"/>
              </w:rPr>
              <w:t>-</w:t>
            </w:r>
          </w:p>
        </w:tc>
      </w:tr>
    </w:tbl>
    <w:p w14:paraId="018AEF2D" w14:textId="77777777" w:rsidR="00B95A86" w:rsidRDefault="00E65B99">
      <w:pPr>
        <w:spacing w:before="120" w:after="240"/>
        <w:rPr>
          <w:sz w:val="22"/>
          <w:szCs w:val="22"/>
        </w:rPr>
      </w:pPr>
      <w:bookmarkStart w:id="1" w:name="_30j0zll" w:colFirst="0" w:colLast="0"/>
      <w:bookmarkEnd w:id="1"/>
      <w:r>
        <w:rPr>
          <w:b/>
          <w:sz w:val="22"/>
          <w:szCs w:val="22"/>
        </w:rPr>
        <w:t>* All times are in the time zone of the country of the Contracting Authority</w:t>
      </w:r>
      <w:r>
        <w:rPr>
          <w:b/>
          <w:sz w:val="22"/>
          <w:szCs w:val="22"/>
        </w:rPr>
        <w:br/>
      </w:r>
      <w:r>
        <w:rPr>
          <w:sz w:val="22"/>
          <w:szCs w:val="22"/>
          <w:vertAlign w:val="superscript"/>
        </w:rPr>
        <w:t xml:space="preserve"> </w:t>
      </w:r>
      <w:r>
        <w:rPr>
          <w:b/>
          <w:sz w:val="22"/>
          <w:szCs w:val="22"/>
        </w:rPr>
        <w:t>Provisional date</w:t>
      </w:r>
    </w:p>
    <w:p w14:paraId="018AEF2E" w14:textId="77777777" w:rsidR="00B95A86" w:rsidRDefault="00E65B99">
      <w:pPr>
        <w:keepNext/>
        <w:numPr>
          <w:ilvl w:val="0"/>
          <w:numId w:val="8"/>
        </w:numPr>
        <w:spacing w:before="120" w:after="120"/>
        <w:jc w:val="both"/>
        <w:rPr>
          <w:sz w:val="24"/>
          <w:szCs w:val="24"/>
        </w:rPr>
      </w:pPr>
      <w:r>
        <w:rPr>
          <w:b/>
          <w:sz w:val="24"/>
          <w:szCs w:val="24"/>
        </w:rPr>
        <w:lastRenderedPageBreak/>
        <w:t>Participation, experts and subcontracting.</w:t>
      </w:r>
    </w:p>
    <w:p w14:paraId="018AEF2F" w14:textId="32004A36" w:rsidR="00B95A86" w:rsidRPr="00C25700" w:rsidRDefault="00236CE4">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highlight w:val="yellow"/>
        </w:rPr>
      </w:pPr>
      <w:r w:rsidRPr="004627BD">
        <w:rPr>
          <w:sz w:val="22"/>
          <w:szCs w:val="22"/>
          <w:highlight w:val="lightGray"/>
        </w:rPr>
        <w:t xml:space="preserve">For </w:t>
      </w:r>
      <w:r>
        <w:rPr>
          <w:sz w:val="22"/>
          <w:szCs w:val="22"/>
          <w:highlight w:val="lightGray"/>
        </w:rPr>
        <w:t>simplified</w:t>
      </w:r>
      <w:r w:rsidRPr="004627BD">
        <w:rPr>
          <w:sz w:val="22"/>
          <w:szCs w:val="22"/>
          <w:highlight w:val="lightGray"/>
        </w:rPr>
        <w:t xml:space="preserve"> procedure: </w:t>
      </w:r>
      <w:r w:rsidR="00E65B99" w:rsidRPr="00C25700">
        <w:rPr>
          <w:color w:val="000000"/>
          <w:sz w:val="22"/>
          <w:szCs w:val="22"/>
          <w:highlight w:val="yellow"/>
        </w:rPr>
        <w:t>Participation in this tender procedure is open only to the invited tenderers.</w:t>
      </w:r>
    </w:p>
    <w:p w14:paraId="018AEF30" w14:textId="2459E110"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Natural or legal persons are not entitled to participate in this tender procedure or be awarded a contract if they are in any of the exclusion situations mentioned in this Tender Dossier. In such case, their tender will be considered unsuitable or irregular respectively. </w:t>
      </w:r>
    </w:p>
    <w:p w14:paraId="018AEF31" w14:textId="0218F67E" w:rsidR="00B95A86" w:rsidRDefault="00B95A86" w:rsidP="004F21E6">
      <w:p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0"/>
        <w:jc w:val="both"/>
        <w:rPr>
          <w:color w:val="000000"/>
          <w:sz w:val="22"/>
          <w:szCs w:val="22"/>
        </w:rPr>
      </w:pPr>
    </w:p>
    <w:p w14:paraId="018AEF34" w14:textId="3E3ABF13" w:rsidR="00B95A86" w:rsidRPr="00236CE4" w:rsidRDefault="00236CE4" w:rsidP="00236CE4">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highlight w:val="yellow"/>
        </w:rPr>
      </w:pPr>
      <w:r w:rsidRPr="004627BD">
        <w:rPr>
          <w:sz w:val="22"/>
          <w:szCs w:val="22"/>
          <w:highlight w:val="lightGray"/>
        </w:rPr>
        <w:t xml:space="preserve">For </w:t>
      </w:r>
      <w:r>
        <w:rPr>
          <w:sz w:val="22"/>
          <w:szCs w:val="22"/>
          <w:highlight w:val="lightGray"/>
        </w:rPr>
        <w:t>simplified</w:t>
      </w:r>
      <w:r w:rsidRPr="004627BD">
        <w:rPr>
          <w:sz w:val="22"/>
          <w:szCs w:val="22"/>
          <w:highlight w:val="lightGray"/>
        </w:rPr>
        <w:t xml:space="preserve"> procedure: </w:t>
      </w:r>
      <w:r w:rsidR="00E65B99" w:rsidRPr="00236CE4">
        <w:rPr>
          <w:color w:val="000000"/>
          <w:sz w:val="22"/>
          <w:szCs w:val="22"/>
          <w:highlight w:val="yellow"/>
        </w:rPr>
        <w:t>Tenders should be submitted by the same service provider or consortium that</w:t>
      </w:r>
      <w:r w:rsidRPr="00236CE4">
        <w:rPr>
          <w:color w:val="000000"/>
          <w:sz w:val="22"/>
          <w:szCs w:val="22"/>
          <w:highlight w:val="yellow"/>
        </w:rPr>
        <w:t xml:space="preserve"> </w:t>
      </w:r>
      <w:r w:rsidR="00E65B99" w:rsidRPr="00236CE4">
        <w:rPr>
          <w:sz w:val="22"/>
          <w:szCs w:val="22"/>
          <w:highlight w:val="yellow"/>
        </w:rPr>
        <w:t>was invited and to which the letter of invitation to tender is addressed. No change whatsoever in the identity or composition of the tenderer is permitted.</w:t>
      </w:r>
    </w:p>
    <w:p w14:paraId="018AEF35" w14:textId="447848AD" w:rsidR="00B95A86" w:rsidRPr="004B6F68"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highlight w:val="yellow"/>
        </w:rPr>
      </w:pPr>
      <w:r w:rsidRPr="004B6F68">
        <w:rPr>
          <w:color w:val="000000"/>
          <w:sz w:val="22"/>
          <w:szCs w:val="22"/>
          <w:highlight w:val="yellow"/>
        </w:rPr>
        <w:t>Invited service providers or consortia are not allowed to form alliances with any other firms or to subcontract to each other for the purposes of this contract.</w:t>
      </w:r>
    </w:p>
    <w:p w14:paraId="018AEF36" w14:textId="01704528" w:rsidR="00B95A86" w:rsidRDefault="00B95A86" w:rsidP="004F21E6">
      <w:p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jc w:val="both"/>
        <w:rPr>
          <w:color w:val="000000"/>
          <w:sz w:val="22"/>
          <w:szCs w:val="22"/>
        </w:rPr>
      </w:pPr>
    </w:p>
    <w:p w14:paraId="018AEF37" w14:textId="4B19C0FC"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Subcontracting is the only permitted form of collaboration with firms that have not been invited and only on condition that the tenderer explicitly states that it is the sole party that will be contractually liable. If the tenderer intends to subcontract one or more parts of the contracted services, this must be clearly stated in the Organisation and Methodology and the Tender submission form. </w:t>
      </w:r>
    </w:p>
    <w:p w14:paraId="018AEF38" w14:textId="3299D668"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Even if subcontracting is allowed, the </w:t>
      </w:r>
      <w:r w:rsidR="004627BD">
        <w:rPr>
          <w:color w:val="000000"/>
          <w:sz w:val="22"/>
          <w:szCs w:val="22"/>
        </w:rPr>
        <w:t>invited</w:t>
      </w:r>
      <w:r>
        <w:rPr>
          <w:color w:val="000000"/>
          <w:sz w:val="22"/>
          <w:szCs w:val="22"/>
        </w:rPr>
        <w:t xml:space="preserve"> candidate must intend to provide the majority of the services itself except for the tasks entrusted to experts either as natural persons or single-member companies. </w:t>
      </w:r>
    </w:p>
    <w:p w14:paraId="018AEF39" w14:textId="23B18A55"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All subcontractors must be eligible for the contract. If any subcontractor identified does not meet the eligibility criteria, the tender shall be rejected. If the identity of the subcontractor is not known at the time of submitting the tender, any subcontract must be awarded according to Article 4 of the General Conditions of the contract.</w:t>
      </w:r>
    </w:p>
    <w:p w14:paraId="018AEF3A" w14:textId="6D14B3C5"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Subcontractors cannot be in any of the exclusion situations listed in the Tender Dossier. Whenever requested by the Contracting Authority, the successful tenderer/contractor shall submit a declaration from the intended subcontractor that it is not in one of the exclusion situations. In the event of doubt, the Contracting Authority shall request documentary evidence that the subcontractor is not in a situation of exclusion. </w:t>
      </w:r>
    </w:p>
    <w:p w14:paraId="018AEF3C" w14:textId="56D1D59D" w:rsidR="00B95A86" w:rsidRDefault="00B95A86" w:rsidP="00CF5B3F">
      <w:pPr>
        <w:pBdr>
          <w:top w:val="nil"/>
          <w:left w:val="nil"/>
          <w:bottom w:val="nil"/>
          <w:right w:val="nil"/>
          <w:between w:val="nil"/>
        </w:pBdr>
        <w:spacing w:before="120" w:after="120"/>
        <w:jc w:val="both"/>
        <w:rPr>
          <w:color w:val="000000"/>
          <w:sz w:val="22"/>
          <w:szCs w:val="22"/>
        </w:rPr>
      </w:pPr>
    </w:p>
    <w:p w14:paraId="018AEF3D" w14:textId="77777777" w:rsidR="00B95A86" w:rsidRDefault="00E65B99">
      <w:pPr>
        <w:widowControl w:val="0"/>
        <w:numPr>
          <w:ilvl w:val="0"/>
          <w:numId w:val="8"/>
        </w:numPr>
        <w:spacing w:before="120" w:after="120"/>
        <w:jc w:val="both"/>
        <w:rPr>
          <w:sz w:val="24"/>
          <w:szCs w:val="24"/>
        </w:rPr>
      </w:pPr>
      <w:r>
        <w:rPr>
          <w:b/>
          <w:sz w:val="24"/>
          <w:szCs w:val="24"/>
        </w:rPr>
        <w:t>Content of tenders</w:t>
      </w:r>
    </w:p>
    <w:p w14:paraId="018AEF3E" w14:textId="468CF3FE" w:rsidR="00B95A86" w:rsidRDefault="00E65B99">
      <w:pPr>
        <w:pStyle w:val="Heading2"/>
        <w:keepNext w:val="0"/>
        <w:widowControl w:val="0"/>
        <w:spacing w:before="120" w:after="120"/>
        <w:jc w:val="both"/>
        <w:rPr>
          <w:sz w:val="22"/>
          <w:szCs w:val="22"/>
        </w:rPr>
      </w:pPr>
      <w:r>
        <w:rPr>
          <w:sz w:val="22"/>
          <w:szCs w:val="22"/>
        </w:rPr>
        <w:t xml:space="preserve">Offers, all correspondence and documents related to the tender exchanged by the tenderer and the Contracting Authority must be written </w:t>
      </w:r>
      <w:r w:rsidRPr="004F21E6">
        <w:rPr>
          <w:sz w:val="22"/>
          <w:szCs w:val="22"/>
          <w:highlight w:val="lightGray"/>
        </w:rPr>
        <w:t>in English</w:t>
      </w:r>
      <w:r w:rsidR="004F21E6" w:rsidRPr="004F21E6">
        <w:rPr>
          <w:sz w:val="22"/>
          <w:szCs w:val="22"/>
          <w:highlight w:val="lightGray"/>
        </w:rPr>
        <w:t xml:space="preserve"> / in any of official languages of programme participating countries in Latin letter</w:t>
      </w:r>
      <w:r w:rsidRPr="004F21E6">
        <w:rPr>
          <w:sz w:val="22"/>
          <w:szCs w:val="22"/>
          <w:highlight w:val="lightGray"/>
        </w:rPr>
        <w:t>.</w:t>
      </w:r>
    </w:p>
    <w:p w14:paraId="018AEF3F" w14:textId="77777777" w:rsidR="00B95A86" w:rsidRDefault="00E65B99">
      <w:pPr>
        <w:pStyle w:val="Heading2"/>
        <w:keepNext w:val="0"/>
        <w:widowControl w:val="0"/>
        <w:spacing w:before="120" w:after="120"/>
        <w:jc w:val="both"/>
        <w:rPr>
          <w:sz w:val="22"/>
          <w:szCs w:val="22"/>
        </w:rPr>
      </w:pPr>
      <w:r>
        <w:rPr>
          <w:sz w:val="22"/>
          <w:szCs w:val="22"/>
        </w:rPr>
        <w:t xml:space="preserve">Supporting documents and printed literature furnished by the tenderer may be in another language, provided they are accompanied by a translation into the language of the procedure (or national language). For the purposes of interpreting the tender, the language of the procedure has precedence. </w:t>
      </w:r>
    </w:p>
    <w:p w14:paraId="018AEF40" w14:textId="5400F226" w:rsidR="00B95A86" w:rsidRDefault="00E65B99">
      <w:pPr>
        <w:widowControl w:val="0"/>
        <w:spacing w:before="120" w:after="120"/>
        <w:jc w:val="both"/>
        <w:rPr>
          <w:sz w:val="22"/>
          <w:szCs w:val="22"/>
        </w:rPr>
      </w:pPr>
      <w:r>
        <w:rPr>
          <w:sz w:val="22"/>
          <w:szCs w:val="22"/>
        </w:rPr>
        <w:t xml:space="preserve">The tender must comprise of a Technical offer and a Financial offer. Each Technical offer and Financial offer must contain one original, clearly marked </w:t>
      </w:r>
      <w:r>
        <w:rPr>
          <w:b/>
          <w:sz w:val="22"/>
          <w:szCs w:val="22"/>
        </w:rPr>
        <w:t>‘Original’</w:t>
      </w:r>
      <w:r>
        <w:rPr>
          <w:sz w:val="22"/>
          <w:szCs w:val="22"/>
        </w:rPr>
        <w:t>, and &lt;</w:t>
      </w:r>
      <w:r>
        <w:rPr>
          <w:sz w:val="22"/>
          <w:szCs w:val="22"/>
          <w:highlight w:val="yellow"/>
        </w:rPr>
        <w:t>number</w:t>
      </w:r>
      <w:r>
        <w:rPr>
          <w:sz w:val="22"/>
          <w:szCs w:val="22"/>
        </w:rPr>
        <w:t xml:space="preserve"> </w:t>
      </w:r>
      <w:r>
        <w:rPr>
          <w:sz w:val="22"/>
          <w:szCs w:val="22"/>
          <w:highlight w:val="yellow"/>
        </w:rPr>
        <w:t>(for environmental reasons, request as few copies as possible, double sided printing, degradable material for folders, presentations, etc.)</w:t>
      </w:r>
      <w:r>
        <w:rPr>
          <w:sz w:val="22"/>
          <w:szCs w:val="22"/>
        </w:rPr>
        <w:t>&gt; copies, each marked ‘</w:t>
      </w:r>
      <w:r>
        <w:rPr>
          <w:b/>
          <w:sz w:val="22"/>
          <w:szCs w:val="22"/>
        </w:rPr>
        <w:t>Copy’</w:t>
      </w:r>
      <w:r>
        <w:rPr>
          <w:sz w:val="22"/>
          <w:szCs w:val="22"/>
        </w:rPr>
        <w:t>. Failure to fulfil these requirements may result in rejection of the tender.</w:t>
      </w:r>
    </w:p>
    <w:tbl>
      <w:tblPr>
        <w:tblStyle w:val="a0"/>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42" w14:textId="77777777">
        <w:tc>
          <w:tcPr>
            <w:tcW w:w="8522" w:type="dxa"/>
          </w:tcPr>
          <w:p w14:paraId="018AEF41" w14:textId="77777777" w:rsidR="00B95A86" w:rsidRDefault="00E65B99">
            <w:pPr>
              <w:widowControl w:val="0"/>
              <w:spacing w:before="120" w:after="120"/>
              <w:jc w:val="both"/>
              <w:rPr>
                <w:sz w:val="22"/>
                <w:szCs w:val="22"/>
              </w:rPr>
            </w:pPr>
            <w:r>
              <w:rPr>
                <w:sz w:val="22"/>
                <w:szCs w:val="22"/>
                <w:highlight w:val="yellow"/>
              </w:rPr>
              <w:t>Optionally, it can be requested that along one original one electronic copy is required.</w:t>
            </w:r>
          </w:p>
        </w:tc>
      </w:tr>
    </w:tbl>
    <w:p w14:paraId="018AEF44" w14:textId="77777777" w:rsidR="00B95A86" w:rsidRDefault="00E65B99">
      <w:pPr>
        <w:widowControl w:val="0"/>
        <w:spacing w:before="120" w:after="120"/>
        <w:ind w:left="567" w:hanging="567"/>
        <w:jc w:val="both"/>
        <w:rPr>
          <w:sz w:val="22"/>
          <w:szCs w:val="22"/>
        </w:rPr>
      </w:pPr>
      <w:r>
        <w:rPr>
          <w:b/>
          <w:sz w:val="22"/>
          <w:szCs w:val="22"/>
        </w:rPr>
        <w:lastRenderedPageBreak/>
        <w:t>4.1.</w:t>
      </w:r>
      <w:r>
        <w:rPr>
          <w:b/>
          <w:sz w:val="22"/>
          <w:szCs w:val="22"/>
        </w:rPr>
        <w:tab/>
        <w:t>Technical offer</w:t>
      </w:r>
    </w:p>
    <w:p w14:paraId="018AEF45" w14:textId="77777777" w:rsidR="00B95A86" w:rsidRDefault="00E65B99">
      <w:pPr>
        <w:widowControl w:val="0"/>
        <w:spacing w:before="120" w:after="120"/>
        <w:jc w:val="both"/>
        <w:rPr>
          <w:sz w:val="22"/>
          <w:szCs w:val="22"/>
        </w:rPr>
      </w:pPr>
      <w:r>
        <w:rPr>
          <w:sz w:val="22"/>
          <w:szCs w:val="22"/>
        </w:rPr>
        <w:t>The Technical offer must include the following documents:</w:t>
      </w:r>
    </w:p>
    <w:p w14:paraId="018AEF46" w14:textId="77777777" w:rsidR="00B95A86" w:rsidRDefault="00E65B99">
      <w:pPr>
        <w:widowControl w:val="0"/>
        <w:numPr>
          <w:ilvl w:val="0"/>
          <w:numId w:val="3"/>
        </w:numPr>
        <w:spacing w:before="120" w:after="120"/>
        <w:ind w:left="567" w:hanging="567"/>
        <w:jc w:val="both"/>
        <w:rPr>
          <w:sz w:val="22"/>
          <w:szCs w:val="22"/>
        </w:rPr>
      </w:pPr>
      <w:r>
        <w:rPr>
          <w:b/>
          <w:sz w:val="22"/>
          <w:szCs w:val="22"/>
        </w:rPr>
        <w:t>Tender submission form</w:t>
      </w:r>
      <w:r>
        <w:rPr>
          <w:sz w:val="22"/>
          <w:szCs w:val="22"/>
        </w:rPr>
        <w:t xml:space="preserve"> (see Part D of this tender dossier) including:</w:t>
      </w:r>
    </w:p>
    <w:p w14:paraId="018AEF4F" w14:textId="77777777" w:rsidR="00B95A86" w:rsidRDefault="00E65B99">
      <w:pPr>
        <w:numPr>
          <w:ilvl w:val="0"/>
          <w:numId w:val="10"/>
        </w:numPr>
        <w:spacing w:before="120" w:after="120"/>
        <w:ind w:left="927"/>
        <w:jc w:val="both"/>
        <w:rPr>
          <w:sz w:val="22"/>
          <w:szCs w:val="22"/>
        </w:rPr>
      </w:pPr>
      <w:r>
        <w:rPr>
          <w:sz w:val="22"/>
          <w:szCs w:val="22"/>
        </w:rPr>
        <w:t>A signed</w:t>
      </w:r>
      <w:r>
        <w:rPr>
          <w:b/>
          <w:sz w:val="22"/>
          <w:szCs w:val="22"/>
        </w:rPr>
        <w:t xml:space="preserve"> declaration</w:t>
      </w:r>
      <w:r>
        <w:rPr>
          <w:sz w:val="22"/>
          <w:szCs w:val="22"/>
        </w:rPr>
        <w:t xml:space="preserve"> from each legal entity identified in the tender submission form, using the format attached to the tender submission form.</w:t>
      </w:r>
    </w:p>
    <w:tbl>
      <w:tblPr>
        <w:tblStyle w:val="a1"/>
        <w:tblW w:w="7595" w:type="dxa"/>
        <w:tblInd w:w="9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95"/>
      </w:tblGrid>
      <w:tr w:rsidR="00B95A86" w14:paraId="018AEF54" w14:textId="77777777">
        <w:tc>
          <w:tcPr>
            <w:tcW w:w="7595" w:type="dxa"/>
          </w:tcPr>
          <w:p w14:paraId="018AEF50" w14:textId="77777777" w:rsidR="00B95A86" w:rsidRDefault="00E65B99">
            <w:pPr>
              <w:spacing w:before="120" w:after="120"/>
              <w:jc w:val="both"/>
              <w:rPr>
                <w:sz w:val="22"/>
                <w:szCs w:val="22"/>
              </w:rPr>
            </w:pPr>
            <w:r>
              <w:rPr>
                <w:sz w:val="22"/>
                <w:szCs w:val="22"/>
              </w:rPr>
              <w:t>Note to the Tenderers on Key Experts:</w:t>
            </w:r>
          </w:p>
          <w:p w14:paraId="018AEF51" w14:textId="77777777" w:rsidR="00B95A86" w:rsidRDefault="00E65B99">
            <w:pPr>
              <w:numPr>
                <w:ilvl w:val="0"/>
                <w:numId w:val="11"/>
              </w:numPr>
              <w:spacing w:before="120" w:after="120"/>
              <w:ind w:left="356"/>
              <w:jc w:val="both"/>
              <w:rPr>
                <w:sz w:val="22"/>
                <w:szCs w:val="22"/>
                <w:highlight w:val="lightGray"/>
              </w:rPr>
            </w:pPr>
            <w:r>
              <w:rPr>
                <w:sz w:val="22"/>
                <w:szCs w:val="22"/>
                <w:highlight w:val="lightGray"/>
              </w:rPr>
              <w:t xml:space="preserve">The key experts proposed in this tender must not be part of any other tender submitted for this tender procedure. In case they are, both tenders will be rejected. </w:t>
            </w:r>
          </w:p>
          <w:p w14:paraId="018AEF52" w14:textId="77777777" w:rsidR="00B95A86" w:rsidRDefault="00E65B99">
            <w:pPr>
              <w:numPr>
                <w:ilvl w:val="0"/>
                <w:numId w:val="11"/>
              </w:numPr>
              <w:spacing w:before="120" w:after="120"/>
              <w:ind w:left="356"/>
              <w:jc w:val="both"/>
              <w:rPr>
                <w:sz w:val="22"/>
                <w:szCs w:val="22"/>
                <w:highlight w:val="lightGray"/>
              </w:rPr>
            </w:pPr>
            <w:r>
              <w:rPr>
                <w:sz w:val="22"/>
                <w:szCs w:val="22"/>
                <w:highlight w:val="lightGray"/>
              </w:rPr>
              <w:t>Each key expert must also undertake to be available, able and willing to work for the whole period scheduled for his/her input to implement the tasks set out in the Terms of Reference and/or in the Organisation and methodology.</w:t>
            </w:r>
          </w:p>
          <w:p w14:paraId="018AEF53" w14:textId="77777777" w:rsidR="00B95A86" w:rsidRDefault="00E65B99">
            <w:pPr>
              <w:numPr>
                <w:ilvl w:val="0"/>
                <w:numId w:val="11"/>
              </w:numPr>
              <w:spacing w:before="120" w:after="120"/>
              <w:ind w:left="356"/>
              <w:jc w:val="both"/>
              <w:rPr>
                <w:sz w:val="22"/>
                <w:szCs w:val="22"/>
                <w:highlight w:val="lightGray"/>
              </w:rPr>
            </w:pPr>
            <w:r>
              <w:rPr>
                <w:sz w:val="22"/>
                <w:szCs w:val="22"/>
                <w:highlight w:val="lightGray"/>
              </w:rPr>
              <w:t>Having selected a firm partly on the basis of an evaluation of the key experts presented in the tender, the Contracting Authority expects the contract to be executed by these specific experts. However, after the award letter, the selected tenderer may propose replacements for the key experts under condition that replacement expert satisfies the same requirements as the replaced expert or better.</w:t>
            </w:r>
          </w:p>
        </w:tc>
      </w:tr>
    </w:tbl>
    <w:p w14:paraId="018AEF55" w14:textId="77777777" w:rsidR="00B95A86" w:rsidRPr="004627BD" w:rsidRDefault="00B95A86" w:rsidP="004627BD">
      <w:pPr>
        <w:spacing w:before="120" w:after="120"/>
        <w:ind w:left="927"/>
        <w:jc w:val="both"/>
        <w:rPr>
          <w:rFonts w:ascii="Arial" w:eastAsia="Arial" w:hAnsi="Arial" w:cs="Arial"/>
          <w:color w:val="000000"/>
          <w:sz w:val="22"/>
          <w:szCs w:val="22"/>
        </w:rPr>
      </w:pPr>
    </w:p>
    <w:p w14:paraId="018AEF56" w14:textId="68113F6B" w:rsidR="00B95A86" w:rsidRDefault="00E65B99">
      <w:pPr>
        <w:numPr>
          <w:ilvl w:val="0"/>
          <w:numId w:val="10"/>
        </w:numPr>
        <w:spacing w:before="120" w:after="120"/>
        <w:ind w:left="927"/>
        <w:jc w:val="both"/>
        <w:rPr>
          <w:sz w:val="22"/>
          <w:szCs w:val="22"/>
        </w:rPr>
      </w:pPr>
      <w:r>
        <w:rPr>
          <w:sz w:val="22"/>
          <w:szCs w:val="22"/>
        </w:rPr>
        <w:t>A completed</w:t>
      </w:r>
      <w:r>
        <w:rPr>
          <w:b/>
          <w:sz w:val="22"/>
          <w:szCs w:val="22"/>
        </w:rPr>
        <w:t xml:space="preserve"> Financial Identification form</w:t>
      </w:r>
      <w:r>
        <w:rPr>
          <w:sz w:val="22"/>
          <w:szCs w:val="22"/>
        </w:rPr>
        <w:t xml:space="preserve"> (see Annex VI to the draft contract) to indicate the bank account into which payments should be made if the tender is successful.</w:t>
      </w:r>
    </w:p>
    <w:p w14:paraId="018AEF57" w14:textId="362D6482" w:rsidR="00B95A86" w:rsidRDefault="00E65B99">
      <w:pPr>
        <w:numPr>
          <w:ilvl w:val="0"/>
          <w:numId w:val="10"/>
        </w:numPr>
        <w:spacing w:before="120" w:after="120"/>
        <w:ind w:left="927"/>
        <w:jc w:val="both"/>
        <w:rPr>
          <w:sz w:val="22"/>
          <w:szCs w:val="22"/>
        </w:rPr>
      </w:pPr>
      <w:r>
        <w:rPr>
          <w:sz w:val="22"/>
          <w:szCs w:val="22"/>
        </w:rPr>
        <w:t xml:space="preserve">The </w:t>
      </w:r>
      <w:r>
        <w:rPr>
          <w:b/>
          <w:sz w:val="22"/>
          <w:szCs w:val="22"/>
        </w:rPr>
        <w:t>legal entity file</w:t>
      </w:r>
      <w:r>
        <w:rPr>
          <w:sz w:val="22"/>
          <w:szCs w:val="22"/>
        </w:rPr>
        <w:t xml:space="preserve"> and supporting documents.</w:t>
      </w:r>
    </w:p>
    <w:p w14:paraId="018AEF58" w14:textId="77777777" w:rsidR="00B95A86" w:rsidRDefault="00E65B99">
      <w:pPr>
        <w:numPr>
          <w:ilvl w:val="0"/>
          <w:numId w:val="10"/>
        </w:numPr>
        <w:spacing w:before="120" w:after="120"/>
        <w:ind w:left="927"/>
        <w:jc w:val="both"/>
        <w:rPr>
          <w:sz w:val="22"/>
          <w:szCs w:val="22"/>
        </w:rPr>
      </w:pPr>
      <w:r>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018AEF59" w14:textId="77777777" w:rsidR="00B95A86" w:rsidRDefault="00E65B99">
      <w:pPr>
        <w:numPr>
          <w:ilvl w:val="0"/>
          <w:numId w:val="3"/>
        </w:numPr>
        <w:spacing w:before="120" w:after="120"/>
        <w:ind w:left="567" w:hanging="567"/>
        <w:jc w:val="both"/>
        <w:rPr>
          <w:sz w:val="22"/>
          <w:szCs w:val="22"/>
        </w:rPr>
      </w:pPr>
      <w:r>
        <w:rPr>
          <w:b/>
          <w:sz w:val="22"/>
          <w:szCs w:val="22"/>
        </w:rPr>
        <w:t>Organisation and methodology</w:t>
      </w:r>
      <w:r>
        <w:rPr>
          <w:sz w:val="22"/>
          <w:szCs w:val="22"/>
        </w:rPr>
        <w:t xml:space="preserve"> (will become Annex III to the contract), to be drawn up by the tenderer using the format in Annex III to the draft contract.</w:t>
      </w:r>
    </w:p>
    <w:p w14:paraId="018AEF5A" w14:textId="77777777" w:rsidR="00B95A86" w:rsidRDefault="00E65B99">
      <w:pPr>
        <w:spacing w:before="120" w:after="120"/>
        <w:ind w:left="567"/>
        <w:jc w:val="both"/>
        <w:rPr>
          <w:sz w:val="22"/>
          <w:szCs w:val="22"/>
        </w:rPr>
      </w:pPr>
      <w:r>
        <w:rPr>
          <w:sz w:val="22"/>
          <w:szCs w:val="22"/>
        </w:rPr>
        <w:t>[</w:t>
      </w:r>
      <w:r>
        <w:rPr>
          <w:sz w:val="22"/>
          <w:szCs w:val="22"/>
          <w:highlight w:val="yellow"/>
        </w:rPr>
        <w:t>For fee-based contracts:</w:t>
      </w:r>
      <w:r>
        <w:rPr>
          <w:b/>
          <w:sz w:val="22"/>
          <w:szCs w:val="22"/>
        </w:rPr>
        <w:t xml:space="preserve"> </w:t>
      </w:r>
      <w:r>
        <w:rPr>
          <w:sz w:val="22"/>
          <w:szCs w:val="22"/>
          <w:highlight w:val="lightGray"/>
        </w:rPr>
        <w:t>The ‘Estimated number of working days’ worksheet (in the budget breakdown spreadsheet for Annex V) must be included in the Organisation and methodology.</w:t>
      </w:r>
      <w:r>
        <w:rPr>
          <w:sz w:val="22"/>
          <w:szCs w:val="22"/>
        </w:rPr>
        <w:t>]</w:t>
      </w:r>
    </w:p>
    <w:p w14:paraId="018AEF5B" w14:textId="144B6E6B" w:rsidR="00B95A86" w:rsidRDefault="00E65B99">
      <w:pPr>
        <w:numPr>
          <w:ilvl w:val="0"/>
          <w:numId w:val="3"/>
        </w:numPr>
        <w:spacing w:before="120" w:after="120"/>
        <w:ind w:left="567" w:hanging="567"/>
        <w:jc w:val="both"/>
        <w:rPr>
          <w:sz w:val="22"/>
          <w:szCs w:val="22"/>
        </w:rPr>
      </w:pPr>
      <w:r>
        <w:rPr>
          <w:sz w:val="22"/>
          <w:szCs w:val="22"/>
        </w:rPr>
        <w:t>[</w:t>
      </w:r>
      <w:r>
        <w:rPr>
          <w:sz w:val="22"/>
          <w:szCs w:val="22"/>
          <w:highlight w:val="yellow"/>
        </w:rPr>
        <w:t>If required:</w:t>
      </w:r>
      <w:r>
        <w:rPr>
          <w:sz w:val="22"/>
          <w:szCs w:val="22"/>
        </w:rPr>
        <w:t xml:space="preserve"> </w:t>
      </w:r>
      <w:r>
        <w:rPr>
          <w:b/>
          <w:sz w:val="22"/>
          <w:szCs w:val="22"/>
          <w:highlight w:val="lightGray"/>
        </w:rPr>
        <w:t>Key experts</w:t>
      </w:r>
      <w:r>
        <w:rPr>
          <w:sz w:val="22"/>
          <w:szCs w:val="22"/>
          <w:highlight w:val="lightGray"/>
        </w:rPr>
        <w:t xml:space="preserve"> (to become Annex IV to the contract). The key experts are those whose involvement is considered to be instrumental to achieve the contract objectives.</w:t>
      </w:r>
      <w:r>
        <w:rPr>
          <w:sz w:val="22"/>
          <w:szCs w:val="22"/>
        </w:rPr>
        <w:t xml:space="preserve"> </w:t>
      </w:r>
      <w:r>
        <w:rPr>
          <w:sz w:val="22"/>
          <w:szCs w:val="22"/>
          <w:highlight w:val="lightGray"/>
        </w:rPr>
        <w:t>Their positions and responsibilities are defined in Section 6.1.1 of the Terms of Reference in Annex II to the draft contract and they are subject to evaluation according to the evaluation grid in Part C of this tender dossier.</w:t>
      </w:r>
      <w:r>
        <w:rPr>
          <w:sz w:val="22"/>
          <w:szCs w:val="22"/>
        </w:rPr>
        <w:t>]</w:t>
      </w:r>
    </w:p>
    <w:p w14:paraId="018AEF5C" w14:textId="118D9D90" w:rsidR="00B95A86" w:rsidRDefault="00E65B99">
      <w:pPr>
        <w:spacing w:before="120" w:after="120"/>
        <w:ind w:left="567"/>
        <w:jc w:val="both"/>
        <w:rPr>
          <w:sz w:val="22"/>
          <w:szCs w:val="22"/>
          <w:highlight w:val="lightGray"/>
        </w:rPr>
      </w:pPr>
      <w:r>
        <w:rPr>
          <w:sz w:val="22"/>
          <w:szCs w:val="22"/>
          <w:highlight w:val="lightGray"/>
        </w:rPr>
        <w:t>Annex IV to the draft contract contains the templates that tenderers must use, including:</w:t>
      </w:r>
    </w:p>
    <w:p w14:paraId="018AEF5D" w14:textId="77777777" w:rsidR="00B95A86" w:rsidRDefault="00E65B99">
      <w:pPr>
        <w:numPr>
          <w:ilvl w:val="0"/>
          <w:numId w:val="1"/>
        </w:numPr>
        <w:spacing w:before="120" w:after="120"/>
        <w:ind w:left="993" w:hanging="425"/>
        <w:jc w:val="both"/>
        <w:rPr>
          <w:sz w:val="22"/>
          <w:szCs w:val="22"/>
          <w:highlight w:val="lightGray"/>
        </w:rPr>
      </w:pPr>
      <w:r>
        <w:rPr>
          <w:sz w:val="22"/>
          <w:szCs w:val="22"/>
          <w:highlight w:val="lightGray"/>
        </w:rPr>
        <w:t>a list of the names of the key experts;</w:t>
      </w:r>
    </w:p>
    <w:p w14:paraId="018AEF5E" w14:textId="77777777" w:rsidR="00B95A86" w:rsidRDefault="00E65B99">
      <w:pPr>
        <w:numPr>
          <w:ilvl w:val="0"/>
          <w:numId w:val="1"/>
        </w:numPr>
        <w:spacing w:before="120" w:after="120"/>
        <w:ind w:left="993" w:hanging="425"/>
        <w:jc w:val="both"/>
        <w:rPr>
          <w:sz w:val="22"/>
          <w:szCs w:val="22"/>
          <w:highlight w:val="lightGray"/>
        </w:rPr>
      </w:pPr>
      <w:r>
        <w:rPr>
          <w:sz w:val="22"/>
          <w:szCs w:val="22"/>
          <w:highlight w:val="lightGray"/>
        </w:rPr>
        <w:t>the CVs of each of the key experts.</w:t>
      </w:r>
      <w:r>
        <w:rPr>
          <w:b/>
          <w:sz w:val="22"/>
          <w:szCs w:val="22"/>
          <w:highlight w:val="lightGray"/>
        </w:rPr>
        <w:t xml:space="preserve"> </w:t>
      </w:r>
      <w:r>
        <w:rPr>
          <w:sz w:val="22"/>
          <w:szCs w:val="22"/>
          <w:highlight w:val="lightGray"/>
        </w:rPr>
        <w:t xml:space="preserve">Each CV should be no longer than 3 pages and only one CV must be provided for each position identified in the Terms of Reference. In case of CVs longer than 3 pages, only the first 3 pages will be taken into account. Non-key experts CVs are not necessary. </w:t>
      </w:r>
    </w:p>
    <w:p w14:paraId="018AEF5F" w14:textId="77777777" w:rsidR="00B95A86" w:rsidRDefault="00E65B99">
      <w:pPr>
        <w:spacing w:before="120" w:after="120"/>
        <w:ind w:left="567"/>
        <w:jc w:val="both"/>
        <w:rPr>
          <w:sz w:val="22"/>
          <w:szCs w:val="22"/>
          <w:highlight w:val="lightGray"/>
        </w:rPr>
      </w:pPr>
      <w:r>
        <w:rPr>
          <w:sz w:val="22"/>
          <w:szCs w:val="22"/>
          <w:highlight w:val="lightGray"/>
        </w:rPr>
        <w:t xml:space="preserve">The qualifications and experience of each key expert must clearly match the profiles indicated in the Terms of Reference. If an expert does not meet the minimum requirements for each evaluation criterion (i.e. qualification and skills, general </w:t>
      </w:r>
      <w:r>
        <w:rPr>
          <w:sz w:val="22"/>
          <w:szCs w:val="22"/>
          <w:highlight w:val="lightGray"/>
        </w:rPr>
        <w:lastRenderedPageBreak/>
        <w:t>professional experience and specific professional experience), he/she must be rejected. In such case the entire tender shall be rejected.</w:t>
      </w:r>
    </w:p>
    <w:p w14:paraId="018AEF60" w14:textId="77777777" w:rsidR="00B95A86" w:rsidRDefault="00E65B99">
      <w:pPr>
        <w:pBdr>
          <w:top w:val="nil"/>
          <w:left w:val="nil"/>
          <w:bottom w:val="nil"/>
          <w:right w:val="nil"/>
          <w:between w:val="nil"/>
        </w:pBdr>
        <w:tabs>
          <w:tab w:val="left" w:pos="567"/>
        </w:tabs>
        <w:spacing w:before="120" w:after="120"/>
        <w:ind w:left="567"/>
        <w:jc w:val="both"/>
        <w:rPr>
          <w:color w:val="000000"/>
          <w:sz w:val="22"/>
          <w:szCs w:val="22"/>
          <w:highlight w:val="lightGray"/>
        </w:rPr>
      </w:pPr>
      <w:r>
        <w:rPr>
          <w:color w:val="000000"/>
          <w:sz w:val="22"/>
          <w:szCs w:val="22"/>
          <w:highlight w:val="lightGray"/>
        </w:rPr>
        <w:t>Tenderers must provide the following documents for any key experts proposed:</w:t>
      </w:r>
    </w:p>
    <w:p w14:paraId="018AEF61" w14:textId="77777777" w:rsidR="00B95A86" w:rsidRDefault="00E65B99">
      <w:pPr>
        <w:pBdr>
          <w:top w:val="nil"/>
          <w:left w:val="nil"/>
          <w:bottom w:val="nil"/>
          <w:right w:val="nil"/>
          <w:between w:val="nil"/>
        </w:pBdr>
        <w:tabs>
          <w:tab w:val="left" w:pos="567"/>
        </w:tabs>
        <w:spacing w:before="120" w:after="120"/>
        <w:ind w:left="851" w:hanging="142"/>
        <w:jc w:val="both"/>
        <w:rPr>
          <w:color w:val="000000"/>
          <w:sz w:val="22"/>
          <w:szCs w:val="22"/>
          <w:highlight w:val="lightGray"/>
        </w:rPr>
      </w:pPr>
      <w:r>
        <w:rPr>
          <w:color w:val="000000"/>
          <w:sz w:val="22"/>
          <w:szCs w:val="22"/>
          <w:highlight w:val="lightGray"/>
        </w:rPr>
        <w:t>-</w:t>
      </w:r>
      <w:r>
        <w:rPr>
          <w:color w:val="000000"/>
          <w:sz w:val="22"/>
          <w:szCs w:val="22"/>
          <w:highlight w:val="lightGray"/>
        </w:rPr>
        <w:tab/>
        <w:t>a copy of the diplomas mentioned in their CVs,</w:t>
      </w:r>
    </w:p>
    <w:p w14:paraId="018AEF62" w14:textId="77777777" w:rsidR="00B95A86" w:rsidRDefault="00E65B99">
      <w:pPr>
        <w:pBdr>
          <w:top w:val="nil"/>
          <w:left w:val="nil"/>
          <w:bottom w:val="nil"/>
          <w:right w:val="nil"/>
          <w:between w:val="nil"/>
        </w:pBdr>
        <w:tabs>
          <w:tab w:val="left" w:pos="567"/>
        </w:tabs>
        <w:spacing w:before="120" w:after="120"/>
        <w:ind w:left="851" w:hanging="142"/>
        <w:jc w:val="both"/>
        <w:rPr>
          <w:color w:val="000000"/>
          <w:sz w:val="22"/>
          <w:szCs w:val="22"/>
          <w:highlight w:val="lightGray"/>
        </w:rPr>
      </w:pPr>
      <w:r>
        <w:rPr>
          <w:color w:val="000000"/>
          <w:sz w:val="22"/>
          <w:szCs w:val="22"/>
          <w:highlight w:val="lightGray"/>
        </w:rPr>
        <w:t>-</w:t>
      </w:r>
      <w:r>
        <w:rPr>
          <w:color w:val="000000"/>
          <w:sz w:val="22"/>
          <w:szCs w:val="22"/>
          <w:highlight w:val="lightGray"/>
        </w:rPr>
        <w:tab/>
        <w:t xml:space="preserve">a copy of employer certificates or references proving the professional experience indicated in their CVs (this may be required. If you think CV is sufficient proof, references do not have to be required). </w:t>
      </w:r>
    </w:p>
    <w:p w14:paraId="018AEF63" w14:textId="77777777" w:rsidR="00B95A86" w:rsidRDefault="00E65B99" w:rsidP="004627BD">
      <w:pPr>
        <w:spacing w:before="120" w:after="120"/>
        <w:ind w:left="851" w:hanging="142"/>
        <w:jc w:val="both"/>
        <w:rPr>
          <w:sz w:val="22"/>
          <w:szCs w:val="22"/>
        </w:rPr>
      </w:pPr>
      <w:r>
        <w:rPr>
          <w:sz w:val="22"/>
          <w:szCs w:val="22"/>
          <w:highlight w:val="lightGray"/>
        </w:rPr>
        <w:t>Only diplomas and documented experience will be taken into account. Previous experience which caused breach of contract and termination shall not be used as reference.]</w:t>
      </w:r>
      <w:r>
        <w:rPr>
          <w:sz w:val="22"/>
          <w:szCs w:val="22"/>
        </w:rPr>
        <w:t xml:space="preserve"> </w:t>
      </w:r>
    </w:p>
    <w:p w14:paraId="018AEF64" w14:textId="77777777" w:rsidR="00B95A86" w:rsidRDefault="00E65B99">
      <w:pPr>
        <w:pBdr>
          <w:top w:val="nil"/>
          <w:left w:val="nil"/>
          <w:bottom w:val="nil"/>
          <w:right w:val="nil"/>
          <w:between w:val="nil"/>
        </w:pBdr>
        <w:tabs>
          <w:tab w:val="left" w:pos="567"/>
        </w:tabs>
        <w:spacing w:before="120" w:after="120"/>
        <w:ind w:left="567" w:hanging="567"/>
        <w:jc w:val="both"/>
        <w:rPr>
          <w:color w:val="000000"/>
          <w:sz w:val="22"/>
          <w:szCs w:val="22"/>
        </w:rPr>
      </w:pPr>
      <w:r>
        <w:rPr>
          <w:color w:val="000000"/>
          <w:sz w:val="22"/>
          <w:szCs w:val="22"/>
        </w:rPr>
        <w:t>(4)</w:t>
      </w:r>
      <w:r>
        <w:rPr>
          <w:color w:val="000000"/>
          <w:sz w:val="22"/>
          <w:szCs w:val="22"/>
        </w:rPr>
        <w:tab/>
        <w:t>Non key experts may also be instrumental to achieve the contract objectives. However, they are not subject to evaluation by the evaluation Committee. Their positions and responsibilities may be defined in Section 6.1.1 of the Terms of Reference in Annex II to the draft contract.</w:t>
      </w:r>
    </w:p>
    <w:p w14:paraId="018AEF65" w14:textId="08F3DC83" w:rsidR="00B95A86" w:rsidRDefault="00E65B99">
      <w:pPr>
        <w:pBdr>
          <w:top w:val="nil"/>
          <w:left w:val="nil"/>
          <w:bottom w:val="nil"/>
          <w:right w:val="nil"/>
          <w:between w:val="nil"/>
        </w:pBdr>
        <w:tabs>
          <w:tab w:val="left" w:pos="567"/>
        </w:tabs>
        <w:spacing w:before="120" w:after="120"/>
        <w:ind w:left="567" w:hanging="567"/>
        <w:jc w:val="both"/>
        <w:rPr>
          <w:color w:val="000000"/>
          <w:sz w:val="22"/>
          <w:szCs w:val="22"/>
        </w:rPr>
      </w:pPr>
      <w:r>
        <w:rPr>
          <w:color w:val="000000"/>
          <w:sz w:val="22"/>
          <w:szCs w:val="22"/>
        </w:rPr>
        <w:t>(5)</w:t>
      </w:r>
      <w:r>
        <w:rPr>
          <w:color w:val="000000"/>
          <w:sz w:val="22"/>
          <w:szCs w:val="22"/>
        </w:rPr>
        <w:tab/>
        <w:t xml:space="preserve">Documentary proof or statements required under the law of the country in which the company (or each of the companies for consortia) is effectively established, to show that it is not in any of the exclusion situations listed in the Tender Dossier. This evidence, documents or statements must be dated, no more than one year before the date of submission of the tender. In addition, a statement must be furnished stating that the situations described in these documents have not changed since then.  </w:t>
      </w:r>
    </w:p>
    <w:p w14:paraId="018AEF67" w14:textId="0438106E" w:rsidR="00B95A86" w:rsidRPr="007928BC" w:rsidRDefault="00E65B99" w:rsidP="007928BC">
      <w:pPr>
        <w:keepNext/>
        <w:keepLines/>
        <w:pBdr>
          <w:top w:val="nil"/>
          <w:left w:val="nil"/>
          <w:bottom w:val="nil"/>
          <w:right w:val="nil"/>
          <w:between w:val="nil"/>
        </w:pBdr>
        <w:tabs>
          <w:tab w:val="left" w:pos="567"/>
        </w:tabs>
        <w:spacing w:before="120" w:after="120"/>
        <w:ind w:left="567"/>
        <w:jc w:val="both"/>
        <w:rPr>
          <w:color w:val="000000"/>
          <w:sz w:val="22"/>
          <w:szCs w:val="22"/>
        </w:rPr>
      </w:pPr>
      <w:r>
        <w:rPr>
          <w:color w:val="000000"/>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018AEF68" w14:textId="6C8402FB" w:rsidR="00B95A86" w:rsidRDefault="00E65B99">
      <w:pPr>
        <w:spacing w:before="120" w:after="120"/>
        <w:ind w:left="567" w:hanging="567"/>
        <w:jc w:val="both"/>
        <w:rPr>
          <w:color w:val="000000"/>
          <w:sz w:val="22"/>
          <w:szCs w:val="22"/>
        </w:rPr>
      </w:pPr>
      <w:r>
        <w:rPr>
          <w:color w:val="000000"/>
          <w:sz w:val="22"/>
          <w:szCs w:val="22"/>
        </w:rPr>
        <w:t>(6)</w:t>
      </w:r>
      <w:r>
        <w:rPr>
          <w:color w:val="000000"/>
          <w:sz w:val="22"/>
          <w:szCs w:val="22"/>
        </w:rPr>
        <w:tab/>
        <w:t>Documentary evidence of the financial and economic capacity as well as the technical and professional capacity according to the selection criteria specified in the contract notice</w:t>
      </w:r>
      <w:r>
        <w:rPr>
          <w:sz w:val="22"/>
          <w:szCs w:val="22"/>
        </w:rPr>
        <w:t>.</w:t>
      </w:r>
      <w:r>
        <w:rPr>
          <w:color w:val="000000"/>
          <w:sz w:val="22"/>
          <w:szCs w:val="22"/>
        </w:rPr>
        <w:t xml:space="preserve"> </w:t>
      </w:r>
    </w:p>
    <w:p w14:paraId="018AEF69" w14:textId="77777777" w:rsidR="00B95A86" w:rsidRDefault="00E65B99">
      <w:pPr>
        <w:spacing w:before="120" w:after="120"/>
        <w:jc w:val="both"/>
        <w:rPr>
          <w:sz w:val="22"/>
          <w:szCs w:val="22"/>
        </w:rPr>
      </w:pPr>
      <w:r>
        <w:rPr>
          <w:sz w:val="22"/>
          <w:szCs w:val="22"/>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or national language, in order to facilitate the evaluation of the documents. Documentary proof or statements may be in original or copy. If copies are submitted, the originals must be available to send to the Contracting Authority upon request.</w:t>
      </w:r>
    </w:p>
    <w:p w14:paraId="018AEF6A" w14:textId="24E6D9FE" w:rsidR="00B95A86" w:rsidRDefault="00E65B99">
      <w:pPr>
        <w:spacing w:before="120" w:after="120"/>
        <w:jc w:val="both"/>
        <w:rPr>
          <w:sz w:val="22"/>
          <w:szCs w:val="22"/>
        </w:rPr>
      </w:pPr>
      <w:r>
        <w:rPr>
          <w:sz w:val="22"/>
          <w:szCs w:val="22"/>
        </w:rPr>
        <w:t>Tenderers are reminded that the provision of false information in this tender procedure may lead to the rejection of their tender.</w:t>
      </w:r>
    </w:p>
    <w:p w14:paraId="61ECEE5B" w14:textId="5980F631" w:rsidR="007928BC" w:rsidRDefault="00E65B99">
      <w:pPr>
        <w:spacing w:before="120" w:after="120"/>
        <w:jc w:val="both"/>
        <w:rPr>
          <w:sz w:val="22"/>
          <w:szCs w:val="22"/>
        </w:rPr>
      </w:pPr>
      <w:r>
        <w:rPr>
          <w:sz w:val="22"/>
          <w:szCs w:val="22"/>
        </w:rPr>
        <w:t>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14:paraId="018AEF6D" w14:textId="75DB0760" w:rsidR="00B95A86" w:rsidRDefault="00E65B99" w:rsidP="007928BC">
      <w:pPr>
        <w:keepNext/>
        <w:spacing w:before="120" w:after="120"/>
        <w:ind w:left="567" w:hanging="567"/>
        <w:jc w:val="both"/>
        <w:rPr>
          <w:sz w:val="22"/>
          <w:szCs w:val="22"/>
        </w:rPr>
      </w:pPr>
      <w:r>
        <w:rPr>
          <w:b/>
          <w:sz w:val="22"/>
          <w:szCs w:val="22"/>
        </w:rPr>
        <w:t>4.2.</w:t>
      </w:r>
      <w:r>
        <w:rPr>
          <w:b/>
          <w:sz w:val="22"/>
          <w:szCs w:val="22"/>
        </w:rPr>
        <w:tab/>
        <w:t>Financial offer</w:t>
      </w:r>
    </w:p>
    <w:p w14:paraId="018AEF7C" w14:textId="4371AD89" w:rsidR="00B95A86" w:rsidRDefault="00E65B99">
      <w:pPr>
        <w:shd w:val="clear" w:color="auto" w:fill="FFFFFF"/>
        <w:spacing w:before="120" w:after="120"/>
        <w:jc w:val="both"/>
        <w:rPr>
          <w:sz w:val="22"/>
          <w:szCs w:val="22"/>
        </w:rPr>
      </w:pPr>
      <w:r w:rsidRPr="004627BD">
        <w:rPr>
          <w:sz w:val="22"/>
          <w:szCs w:val="22"/>
        </w:rPr>
        <w:t xml:space="preserve">The Financial offer must be presented as an amount in </w:t>
      </w:r>
      <w:r>
        <w:rPr>
          <w:sz w:val="22"/>
          <w:szCs w:val="22"/>
          <w:highlight w:val="lightGray"/>
        </w:rPr>
        <w:t>[Euro] [&lt;</w:t>
      </w:r>
      <w:r w:rsidRPr="004627BD">
        <w:rPr>
          <w:sz w:val="22"/>
          <w:szCs w:val="22"/>
          <w:highlight w:val="lightGray"/>
        </w:rPr>
        <w:t>national currency</w:t>
      </w:r>
      <w:r w:rsidRPr="004627BD">
        <w:rPr>
          <w:sz w:val="22"/>
          <w:szCs w:val="22"/>
        </w:rPr>
        <w:t xml:space="preserve">&gt; and must be submitted using the template Financial offer of this tender dossier, including all requirements set therein. </w:t>
      </w:r>
    </w:p>
    <w:p w14:paraId="018AEF7D" w14:textId="65DF1EC1" w:rsidR="00B95A86" w:rsidRDefault="00E65B99">
      <w:pPr>
        <w:shd w:val="clear" w:color="auto" w:fill="FFFFFF"/>
        <w:spacing w:before="120" w:after="120"/>
        <w:jc w:val="both"/>
        <w:rPr>
          <w:sz w:val="22"/>
          <w:szCs w:val="22"/>
        </w:rPr>
      </w:pPr>
      <w:r>
        <w:rPr>
          <w:sz w:val="22"/>
          <w:szCs w:val="22"/>
        </w:rPr>
        <w:t>Tenderers are reminded that the maximum budget available for this contract, as stated in the contract notice, is [</w:t>
      </w:r>
      <w:r>
        <w:rPr>
          <w:sz w:val="22"/>
          <w:szCs w:val="22"/>
          <w:highlight w:val="lightGray"/>
        </w:rPr>
        <w:t>EUR] [&lt;</w:t>
      </w:r>
      <w:r w:rsidRPr="004627BD">
        <w:rPr>
          <w:sz w:val="22"/>
          <w:szCs w:val="22"/>
          <w:highlight w:val="lightGray"/>
        </w:rPr>
        <w:t>national currency&gt; &lt;amount</w:t>
      </w:r>
      <w:r>
        <w:rPr>
          <w:sz w:val="22"/>
          <w:szCs w:val="22"/>
        </w:rPr>
        <w:t xml:space="preserve">&gt;. Payments under this contract will be made in the currency of the tender. </w:t>
      </w:r>
    </w:p>
    <w:tbl>
      <w:tblPr>
        <w:tblStyle w:val="a2"/>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80" w14:textId="77777777">
        <w:tc>
          <w:tcPr>
            <w:tcW w:w="8522" w:type="dxa"/>
          </w:tcPr>
          <w:p w14:paraId="018AEF7E" w14:textId="77777777" w:rsidR="00B95A86" w:rsidRDefault="00E65B99">
            <w:pPr>
              <w:rPr>
                <w:sz w:val="22"/>
                <w:szCs w:val="22"/>
                <w:highlight w:val="yellow"/>
              </w:rPr>
            </w:pPr>
            <w:r>
              <w:rPr>
                <w:sz w:val="22"/>
                <w:szCs w:val="22"/>
                <w:highlight w:val="yellow"/>
              </w:rPr>
              <w:lastRenderedPageBreak/>
              <w:t xml:space="preserve">Please note that tenders can be presented in different currencies, but in this case very clear instruction must be provided on what will exact exchange rate be. Such condition must not affect market competition. </w:t>
            </w:r>
          </w:p>
          <w:p w14:paraId="018AEF7F" w14:textId="77777777" w:rsidR="00B95A86" w:rsidRDefault="00E65B99">
            <w:pPr>
              <w:spacing w:before="120" w:after="120"/>
              <w:jc w:val="both"/>
              <w:rPr>
                <w:sz w:val="22"/>
                <w:szCs w:val="22"/>
              </w:rPr>
            </w:pPr>
            <w:r>
              <w:rPr>
                <w:sz w:val="22"/>
                <w:szCs w:val="22"/>
                <w:highlight w:val="yellow"/>
              </w:rPr>
              <w:t>Also, think about what is your currency for payments and whether you will have additional costs if contracts are signed in different currencies (thus creating exchange rate difference).</w:t>
            </w:r>
          </w:p>
        </w:tc>
      </w:tr>
    </w:tbl>
    <w:p w14:paraId="018AEF81" w14:textId="77777777" w:rsidR="00B95A86" w:rsidRDefault="00B95A86">
      <w:pPr>
        <w:shd w:val="clear" w:color="auto" w:fill="FFFFFF"/>
        <w:spacing w:before="120" w:after="120"/>
        <w:jc w:val="both"/>
        <w:rPr>
          <w:sz w:val="22"/>
          <w:szCs w:val="22"/>
        </w:rPr>
      </w:pPr>
    </w:p>
    <w:p w14:paraId="018AEF82" w14:textId="77777777" w:rsidR="00B95A86" w:rsidRDefault="00E65B99">
      <w:pPr>
        <w:shd w:val="clear" w:color="auto" w:fill="FFFFFF"/>
        <w:spacing w:before="120" w:after="120"/>
        <w:jc w:val="both"/>
        <w:rPr>
          <w:sz w:val="22"/>
          <w:szCs w:val="22"/>
        </w:rPr>
      </w:pPr>
      <w:r>
        <w:rPr>
          <w:sz w:val="22"/>
          <w:szCs w:val="22"/>
        </w:rPr>
        <w:t xml:space="preserve">The applicable tax and customs arrangements are as follows.  </w:t>
      </w:r>
    </w:p>
    <w:p w14:paraId="018AEF8D" w14:textId="68F22091" w:rsidR="00B95A86" w:rsidRDefault="00B95A86">
      <w:pPr>
        <w:spacing w:after="120"/>
        <w:rPr>
          <w:sz w:val="22"/>
          <w:szCs w:val="22"/>
        </w:rPr>
      </w:pPr>
    </w:p>
    <w:p w14:paraId="018AEF8E" w14:textId="77777777" w:rsidR="00B95A86" w:rsidRDefault="00E65B99">
      <w:pPr>
        <w:keepNext/>
        <w:numPr>
          <w:ilvl w:val="0"/>
          <w:numId w:val="8"/>
        </w:numPr>
        <w:spacing w:before="120" w:after="120"/>
        <w:jc w:val="both"/>
        <w:rPr>
          <w:sz w:val="24"/>
          <w:szCs w:val="24"/>
        </w:rPr>
      </w:pPr>
      <w:r>
        <w:rPr>
          <w:b/>
          <w:sz w:val="24"/>
          <w:szCs w:val="24"/>
        </w:rPr>
        <w:t>Variant solutions</w:t>
      </w:r>
    </w:p>
    <w:p w14:paraId="018AEF8F" w14:textId="7CF315FD" w:rsidR="00B95A86" w:rsidRDefault="00E65B99">
      <w:pPr>
        <w:spacing w:before="120" w:after="120"/>
        <w:rPr>
          <w:sz w:val="22"/>
          <w:szCs w:val="22"/>
        </w:rPr>
      </w:pPr>
      <w:r>
        <w:rPr>
          <w:sz w:val="22"/>
          <w:szCs w:val="22"/>
        </w:rPr>
        <w:t xml:space="preserve">Tenderers </w:t>
      </w:r>
      <w:r w:rsidRPr="004627BD">
        <w:rPr>
          <w:sz w:val="22"/>
          <w:szCs w:val="22"/>
        </w:rPr>
        <w:t>are not</w:t>
      </w:r>
      <w:r>
        <w:rPr>
          <w:sz w:val="22"/>
          <w:szCs w:val="22"/>
        </w:rPr>
        <w:t xml:space="preserve"> authorised to tender for a variant in addition to this tender.</w:t>
      </w:r>
    </w:p>
    <w:p w14:paraId="018AEF90" w14:textId="77777777" w:rsidR="00B95A86" w:rsidRDefault="00E65B99">
      <w:pPr>
        <w:spacing w:before="120" w:after="120"/>
        <w:rPr>
          <w:sz w:val="22"/>
          <w:szCs w:val="22"/>
        </w:rPr>
      </w:pPr>
      <w:r>
        <w:rPr>
          <w:sz w:val="22"/>
          <w:szCs w:val="22"/>
        </w:rPr>
        <w:t>[</w:t>
      </w:r>
      <w:r>
        <w:rPr>
          <w:sz w:val="22"/>
          <w:szCs w:val="22"/>
          <w:highlight w:val="yellow"/>
        </w:rPr>
        <w:t>If applicable, give details of conditions to be met by any variant</w:t>
      </w:r>
      <w:r>
        <w:rPr>
          <w:sz w:val="22"/>
          <w:szCs w:val="22"/>
        </w:rPr>
        <w:t xml:space="preserve">: </w:t>
      </w:r>
    </w:p>
    <w:p w14:paraId="018AEF98" w14:textId="6B2D39A5" w:rsidR="00B95A86" w:rsidRDefault="00B95A86">
      <w:pPr>
        <w:pStyle w:val="Heading2"/>
        <w:keepNext w:val="0"/>
        <w:spacing w:before="120" w:after="120"/>
        <w:jc w:val="both"/>
        <w:rPr>
          <w:sz w:val="22"/>
          <w:szCs w:val="22"/>
        </w:rPr>
      </w:pPr>
    </w:p>
    <w:p w14:paraId="018AEF99" w14:textId="77777777" w:rsidR="00B95A86" w:rsidRDefault="00E65B99">
      <w:pPr>
        <w:keepNext/>
        <w:keepLines/>
        <w:numPr>
          <w:ilvl w:val="0"/>
          <w:numId w:val="8"/>
        </w:numPr>
        <w:spacing w:before="120" w:after="120"/>
        <w:jc w:val="both"/>
        <w:rPr>
          <w:sz w:val="24"/>
          <w:szCs w:val="24"/>
        </w:rPr>
      </w:pPr>
      <w:r>
        <w:rPr>
          <w:b/>
          <w:sz w:val="24"/>
          <w:szCs w:val="24"/>
        </w:rPr>
        <w:t>Period during which tenders are binding</w:t>
      </w:r>
    </w:p>
    <w:p w14:paraId="018AEF9A" w14:textId="77777777" w:rsidR="00B95A86" w:rsidRDefault="00E65B99">
      <w:pPr>
        <w:keepNext/>
        <w:keepLines/>
        <w:spacing w:before="120" w:after="120"/>
        <w:jc w:val="both"/>
        <w:rPr>
          <w:sz w:val="22"/>
          <w:szCs w:val="22"/>
        </w:rPr>
      </w:pPr>
      <w:r>
        <w:rPr>
          <w:sz w:val="22"/>
          <w:szCs w:val="22"/>
        </w:rPr>
        <w:t>Tenderers are bound by their tenders for 90 days after the deadline for submitting tenders or until they have been notified of non-award. In exceptional cases, before the period of validity expires, the Contracting Authority may ask tenderers to extend the period for a specific number of days, which may not exceed 40.</w:t>
      </w:r>
    </w:p>
    <w:p w14:paraId="018AEF9B" w14:textId="4E59F513" w:rsidR="00B95A86" w:rsidRDefault="00E65B99">
      <w:pPr>
        <w:keepNext/>
        <w:keepLines/>
        <w:pBdr>
          <w:top w:val="nil"/>
          <w:left w:val="nil"/>
          <w:bottom w:val="nil"/>
          <w:right w:val="nil"/>
          <w:between w:val="nil"/>
        </w:pBdr>
        <w:tabs>
          <w:tab w:val="left" w:pos="567"/>
        </w:tabs>
        <w:spacing w:before="120" w:after="120"/>
        <w:jc w:val="both"/>
        <w:rPr>
          <w:color w:val="000000"/>
          <w:sz w:val="22"/>
          <w:szCs w:val="22"/>
        </w:rPr>
      </w:pPr>
      <w:r>
        <w:rPr>
          <w:color w:val="000000"/>
          <w:sz w:val="22"/>
          <w:szCs w:val="22"/>
        </w:rPr>
        <w:t>The selected tenderer must maintain its tender for a further 60 days. This 60-day period is added to the validity period irrespective of the date of notification.</w:t>
      </w:r>
      <w:r>
        <w:rPr>
          <w:color w:val="000000"/>
        </w:rPr>
        <w:t xml:space="preserve"> </w:t>
      </w:r>
      <w:r>
        <w:rPr>
          <w:color w:val="000000"/>
          <w:sz w:val="22"/>
          <w:szCs w:val="22"/>
        </w:rPr>
        <w:t>This period can be further extended when the contracting authority is required to obtain the recommendation of the panel referred to in section 2.</w:t>
      </w:r>
      <w:r w:rsidR="004F21E6">
        <w:rPr>
          <w:color w:val="000000"/>
          <w:sz w:val="22"/>
          <w:szCs w:val="22"/>
        </w:rPr>
        <w:t>6.10.1.1</w:t>
      </w:r>
      <w:r>
        <w:rPr>
          <w:color w:val="000000"/>
          <w:sz w:val="22"/>
          <w:szCs w:val="22"/>
        </w:rPr>
        <w:t>. of the Practical Guide, up to the adoption of that recommendation.</w:t>
      </w:r>
    </w:p>
    <w:p w14:paraId="018AEF9C" w14:textId="77777777" w:rsidR="00B95A86" w:rsidRDefault="00E65B99">
      <w:pPr>
        <w:keepNext/>
        <w:numPr>
          <w:ilvl w:val="0"/>
          <w:numId w:val="8"/>
        </w:numPr>
        <w:spacing w:before="120" w:after="120"/>
        <w:jc w:val="both"/>
        <w:rPr>
          <w:sz w:val="24"/>
          <w:szCs w:val="24"/>
        </w:rPr>
      </w:pPr>
      <w:r>
        <w:rPr>
          <w:b/>
          <w:sz w:val="24"/>
          <w:szCs w:val="24"/>
        </w:rPr>
        <w:t>Additional information before the deadline for submitting tenders</w:t>
      </w:r>
    </w:p>
    <w:p w14:paraId="018AEF9D" w14:textId="61716A43" w:rsidR="00B95A86" w:rsidRDefault="00E65B99">
      <w:pPr>
        <w:spacing w:before="120" w:after="120"/>
        <w:jc w:val="both"/>
        <w:rPr>
          <w:sz w:val="22"/>
          <w:szCs w:val="22"/>
        </w:rPr>
      </w:pPr>
      <w:r>
        <w:rPr>
          <w:sz w:val="22"/>
          <w:szCs w:val="22"/>
        </w:rPr>
        <w:t>The tender dossier should be clear enough to avoid candidates having to request additional information during the procedure. If the Contracting Authority, either on its own initiative or in response to a request from an invited candidate, provides additional information on the tender dossier, it must send such information in writing to all other invited candidates at the same time.</w:t>
      </w:r>
    </w:p>
    <w:p w14:paraId="018AEF9E" w14:textId="77777777" w:rsidR="00B95A86" w:rsidRDefault="00E65B99">
      <w:pPr>
        <w:keepNext/>
        <w:spacing w:before="120" w:after="120"/>
        <w:jc w:val="both"/>
        <w:rPr>
          <w:sz w:val="22"/>
          <w:szCs w:val="22"/>
        </w:rPr>
      </w:pPr>
      <w:r>
        <w:rPr>
          <w:sz w:val="22"/>
          <w:szCs w:val="22"/>
        </w:rPr>
        <w:t>Tenderers may submit questions in writing to the following address up to 21 days before the deadline for submission of tenders, specifying the publication reference and the contract title:</w:t>
      </w:r>
    </w:p>
    <w:p w14:paraId="018AEF9F" w14:textId="77777777" w:rsidR="00B95A86" w:rsidRDefault="00E65B99">
      <w:pPr>
        <w:pBdr>
          <w:top w:val="nil"/>
          <w:left w:val="nil"/>
          <w:bottom w:val="nil"/>
          <w:right w:val="nil"/>
          <w:between w:val="nil"/>
        </w:pBdr>
        <w:spacing w:before="240"/>
        <w:rPr>
          <w:color w:val="000000"/>
          <w:sz w:val="22"/>
          <w:szCs w:val="22"/>
        </w:rPr>
      </w:pPr>
      <w:r>
        <w:rPr>
          <w:color w:val="000000"/>
          <w:sz w:val="22"/>
          <w:szCs w:val="22"/>
        </w:rPr>
        <w:t>&lt;</w:t>
      </w:r>
      <w:r>
        <w:rPr>
          <w:color w:val="000000"/>
          <w:sz w:val="22"/>
          <w:szCs w:val="22"/>
          <w:highlight w:val="yellow"/>
        </w:rPr>
        <w:t>Contact name</w:t>
      </w:r>
      <w:r>
        <w:rPr>
          <w:color w:val="000000"/>
          <w:sz w:val="22"/>
          <w:szCs w:val="22"/>
          <w:highlight w:val="yellow"/>
        </w:rPr>
        <w:br/>
        <w:t>Address</w:t>
      </w:r>
      <w:r>
        <w:rPr>
          <w:color w:val="000000"/>
          <w:sz w:val="22"/>
          <w:szCs w:val="22"/>
          <w:highlight w:val="yellow"/>
        </w:rPr>
        <w:br/>
        <w:t>Fax No</w:t>
      </w:r>
      <w:r>
        <w:rPr>
          <w:color w:val="000000"/>
          <w:sz w:val="22"/>
          <w:szCs w:val="22"/>
          <w:highlight w:val="yellow"/>
        </w:rPr>
        <w:br/>
        <w:t>E-mail</w:t>
      </w:r>
      <w:r>
        <w:rPr>
          <w:color w:val="000000"/>
          <w:sz w:val="22"/>
          <w:szCs w:val="22"/>
        </w:rPr>
        <w:t>&gt;</w:t>
      </w:r>
    </w:p>
    <w:p w14:paraId="018AEFA0" w14:textId="77777777"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rPr>
        <w:t>The Contracting Authority has no obligation to provide clarification after this date.</w:t>
      </w:r>
    </w:p>
    <w:p w14:paraId="018AEFA1" w14:textId="77777777"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14:paraId="018AEFA2" w14:textId="2B9923BD" w:rsidR="00B95A86" w:rsidRDefault="00B95A86">
      <w:pPr>
        <w:pBdr>
          <w:top w:val="nil"/>
          <w:left w:val="nil"/>
          <w:bottom w:val="nil"/>
          <w:right w:val="nil"/>
          <w:between w:val="nil"/>
        </w:pBdr>
        <w:spacing w:before="120" w:after="120"/>
        <w:jc w:val="both"/>
        <w:rPr>
          <w:color w:val="000000"/>
          <w:sz w:val="22"/>
          <w:szCs w:val="22"/>
        </w:rPr>
      </w:pPr>
    </w:p>
    <w:p w14:paraId="018AEFA3" w14:textId="77777777" w:rsidR="00B95A86" w:rsidRDefault="00E65B99">
      <w:pPr>
        <w:pBdr>
          <w:top w:val="nil"/>
          <w:left w:val="nil"/>
          <w:bottom w:val="nil"/>
          <w:right w:val="nil"/>
          <w:between w:val="nil"/>
        </w:pBdr>
        <w:spacing w:before="120" w:after="120"/>
        <w:jc w:val="both"/>
        <w:rPr>
          <w:color w:val="000000"/>
          <w:sz w:val="22"/>
          <w:szCs w:val="22"/>
        </w:rPr>
      </w:pPr>
      <w:r w:rsidRPr="004627BD">
        <w:rPr>
          <w:color w:val="000000"/>
          <w:sz w:val="22"/>
          <w:szCs w:val="22"/>
        </w:rPr>
        <w:t xml:space="preserve">Any clarification of the tender dossier will be communicated simultaneously in writing to all tenderers at the latest 11 calendar days before the deadline for submitting tenders. </w:t>
      </w:r>
    </w:p>
    <w:tbl>
      <w:tblPr>
        <w:tblStyle w:val="a3"/>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A5" w14:textId="77777777">
        <w:tc>
          <w:tcPr>
            <w:tcW w:w="8522" w:type="dxa"/>
          </w:tcPr>
          <w:p w14:paraId="018AEFA4" w14:textId="2CFCCE72"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highlight w:val="yellow"/>
              </w:rPr>
              <w:lastRenderedPageBreak/>
              <w:t>Please note that according to the best international practice (Public Procurement Directive</w:t>
            </w:r>
            <w:r>
              <w:rPr>
                <w:color w:val="000000"/>
                <w:sz w:val="22"/>
                <w:szCs w:val="22"/>
                <w:highlight w:val="yellow"/>
                <w:vertAlign w:val="superscript"/>
              </w:rPr>
              <w:footnoteReference w:id="1"/>
            </w:r>
            <w:r>
              <w:rPr>
                <w:color w:val="000000"/>
                <w:sz w:val="22"/>
                <w:szCs w:val="22"/>
                <w:highlight w:val="yellow"/>
              </w:rPr>
              <w:t>) deadline for providing additional information, requested by the economic operator in good time, must be supplied at the latest six days before the time limit fixed for the receipt of tenders. This means that deadlines for submission of questions and requests for clarification could be shortened by the Contracting Authority if necessary.</w:t>
            </w:r>
          </w:p>
        </w:tc>
      </w:tr>
    </w:tbl>
    <w:p w14:paraId="018AEFA6" w14:textId="77777777" w:rsidR="00B95A86" w:rsidRPr="004627BD" w:rsidRDefault="00B95A86" w:rsidP="004627BD">
      <w:pPr>
        <w:spacing w:before="120" w:after="120"/>
        <w:jc w:val="both"/>
        <w:rPr>
          <w:color w:val="000000"/>
          <w:sz w:val="22"/>
          <w:szCs w:val="22"/>
        </w:rPr>
      </w:pPr>
    </w:p>
    <w:p w14:paraId="018AEFA7" w14:textId="77777777" w:rsidR="00B95A86" w:rsidRPr="004627BD" w:rsidRDefault="00E65B99" w:rsidP="004627BD">
      <w:pPr>
        <w:spacing w:before="120" w:after="120"/>
        <w:jc w:val="both"/>
        <w:rPr>
          <w:color w:val="000000"/>
          <w:sz w:val="22"/>
          <w:szCs w:val="22"/>
        </w:rPr>
      </w:pPr>
      <w:r w:rsidRPr="004627BD">
        <w:rPr>
          <w:color w:val="000000"/>
          <w:sz w:val="22"/>
          <w:szCs w:val="22"/>
        </w:rPr>
        <w:t>No information meeting is planned.</w:t>
      </w:r>
    </w:p>
    <w:p w14:paraId="018AEFA8" w14:textId="77777777" w:rsidR="00B95A86" w:rsidRPr="004627BD" w:rsidRDefault="00E65B99" w:rsidP="004627BD">
      <w:pPr>
        <w:spacing w:before="120" w:after="120"/>
        <w:jc w:val="both"/>
        <w:rPr>
          <w:color w:val="000000"/>
          <w:sz w:val="22"/>
          <w:szCs w:val="22"/>
        </w:rPr>
      </w:pPr>
      <w:r w:rsidRPr="004627BD">
        <w:rPr>
          <w:color w:val="000000"/>
          <w:sz w:val="22"/>
          <w:szCs w:val="22"/>
        </w:rPr>
        <w:t>No site visit is planned.</w:t>
      </w:r>
    </w:p>
    <w:p w14:paraId="018AEFA9" w14:textId="7988BB82" w:rsidR="00B95A86" w:rsidRDefault="00E65B99">
      <w:pPr>
        <w:pBdr>
          <w:top w:val="nil"/>
          <w:left w:val="nil"/>
          <w:bottom w:val="nil"/>
          <w:right w:val="nil"/>
          <w:between w:val="nil"/>
        </w:pBdr>
        <w:spacing w:before="120" w:after="120"/>
        <w:jc w:val="both"/>
        <w:rPr>
          <w:color w:val="000000"/>
          <w:sz w:val="22"/>
          <w:szCs w:val="22"/>
        </w:rPr>
      </w:pPr>
      <w:r w:rsidRPr="004627BD">
        <w:rPr>
          <w:color w:val="000000"/>
          <w:sz w:val="22"/>
          <w:szCs w:val="22"/>
        </w:rPr>
        <w:t>Visits by individual prospective tenderers during the tender period are not organised.</w:t>
      </w:r>
    </w:p>
    <w:p w14:paraId="018AEFB7" w14:textId="39AA6161" w:rsidR="00B95A86" w:rsidRDefault="00B95A86">
      <w:pPr>
        <w:pBdr>
          <w:top w:val="nil"/>
          <w:left w:val="nil"/>
          <w:bottom w:val="nil"/>
          <w:right w:val="nil"/>
          <w:between w:val="nil"/>
        </w:pBdr>
        <w:spacing w:before="120" w:after="120"/>
        <w:jc w:val="both"/>
        <w:rPr>
          <w:color w:val="000000"/>
          <w:sz w:val="22"/>
          <w:szCs w:val="22"/>
        </w:rPr>
      </w:pPr>
      <w:bookmarkStart w:id="2" w:name="_1fob9te" w:colFirst="0" w:colLast="0"/>
      <w:bookmarkStart w:id="3" w:name="_3znysh7" w:colFirst="0" w:colLast="0"/>
      <w:bookmarkEnd w:id="2"/>
      <w:bookmarkEnd w:id="3"/>
    </w:p>
    <w:p w14:paraId="018AEFB8" w14:textId="77777777" w:rsidR="00B95A86" w:rsidRDefault="00E65B99">
      <w:pPr>
        <w:keepNext/>
        <w:numPr>
          <w:ilvl w:val="0"/>
          <w:numId w:val="8"/>
        </w:numPr>
        <w:spacing w:before="120" w:after="120"/>
        <w:jc w:val="both"/>
        <w:rPr>
          <w:sz w:val="24"/>
          <w:szCs w:val="24"/>
        </w:rPr>
      </w:pPr>
      <w:r>
        <w:rPr>
          <w:b/>
          <w:sz w:val="24"/>
          <w:szCs w:val="24"/>
        </w:rPr>
        <w:t>Submission of tenders</w:t>
      </w:r>
    </w:p>
    <w:p w14:paraId="018AEFB9" w14:textId="77777777" w:rsidR="00B95A86" w:rsidRDefault="00E65B99">
      <w:pPr>
        <w:spacing w:before="120" w:after="120"/>
        <w:jc w:val="both"/>
        <w:rPr>
          <w:sz w:val="22"/>
          <w:szCs w:val="22"/>
          <w:highlight w:val="yellow"/>
        </w:rPr>
      </w:pPr>
      <w:r>
        <w:rPr>
          <w:sz w:val="22"/>
          <w:szCs w:val="22"/>
        </w:rPr>
        <w:t xml:space="preserve">Tenders must be delivered to the Contracting Authority for </w:t>
      </w:r>
      <w:r>
        <w:rPr>
          <w:b/>
          <w:sz w:val="22"/>
          <w:szCs w:val="22"/>
        </w:rPr>
        <w:t xml:space="preserve">receipt </w:t>
      </w:r>
      <w:r>
        <w:rPr>
          <w:sz w:val="22"/>
          <w:szCs w:val="22"/>
        </w:rPr>
        <w:t xml:space="preserve">before &lt; </w:t>
      </w:r>
      <w:r>
        <w:rPr>
          <w:sz w:val="22"/>
          <w:szCs w:val="22"/>
          <w:highlight w:val="yellow"/>
        </w:rPr>
        <w:t xml:space="preserve">date &amp; time of deadline, </w:t>
      </w:r>
    </w:p>
    <w:p w14:paraId="018AEFBB" w14:textId="0E616B3C" w:rsidR="00B95A86" w:rsidRDefault="00E17E57">
      <w:pPr>
        <w:spacing w:before="120" w:after="120"/>
        <w:jc w:val="both"/>
        <w:rPr>
          <w:sz w:val="22"/>
          <w:szCs w:val="22"/>
        </w:rPr>
      </w:pPr>
      <w:r>
        <w:rPr>
          <w:sz w:val="22"/>
          <w:szCs w:val="22"/>
          <w:highlight w:val="yellow"/>
        </w:rPr>
        <w:t>Note - f</w:t>
      </w:r>
      <w:r w:rsidR="00E65B99">
        <w:rPr>
          <w:sz w:val="22"/>
          <w:szCs w:val="22"/>
          <w:highlight w:val="yellow"/>
        </w:rPr>
        <w:t xml:space="preserve">or </w:t>
      </w:r>
      <w:r>
        <w:rPr>
          <w:sz w:val="22"/>
          <w:szCs w:val="22"/>
          <w:highlight w:val="yellow"/>
        </w:rPr>
        <w:t>simplified</w:t>
      </w:r>
      <w:r w:rsidR="00E65B99">
        <w:rPr>
          <w:sz w:val="22"/>
          <w:szCs w:val="22"/>
          <w:highlight w:val="yellow"/>
        </w:rPr>
        <w:t xml:space="preserve"> procedure: at least 30 days after the date of the invitation letter and at the close of business of a working day</w:t>
      </w:r>
      <w:r w:rsidR="00E65B99">
        <w:rPr>
          <w:sz w:val="22"/>
          <w:szCs w:val="22"/>
        </w:rPr>
        <w:t>.</w:t>
      </w:r>
    </w:p>
    <w:tbl>
      <w:tblPr>
        <w:tblStyle w:val="a4"/>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BE" w14:textId="77777777">
        <w:tc>
          <w:tcPr>
            <w:tcW w:w="8522" w:type="dxa"/>
          </w:tcPr>
          <w:p w14:paraId="018AEFBD" w14:textId="06B15D61" w:rsidR="00B95A86" w:rsidRDefault="00E65B99" w:rsidP="00E17E57">
            <w:pPr>
              <w:spacing w:before="120" w:after="120"/>
              <w:jc w:val="both"/>
              <w:rPr>
                <w:sz w:val="22"/>
                <w:szCs w:val="22"/>
                <w:highlight w:val="yellow"/>
              </w:rPr>
            </w:pPr>
            <w:r>
              <w:rPr>
                <w:sz w:val="22"/>
                <w:szCs w:val="22"/>
                <w:highlight w:val="yellow"/>
              </w:rPr>
              <w:t>Please note that public opening is not required under PRAG. However, if public opening is held, best international practice suggests it should be held at the time of deadline for submission of offers (or as close as possible).</w:t>
            </w:r>
          </w:p>
        </w:tc>
      </w:tr>
    </w:tbl>
    <w:p w14:paraId="018AEFBF" w14:textId="77777777" w:rsidR="00B95A86" w:rsidRDefault="00B95A86">
      <w:pPr>
        <w:spacing w:before="120" w:after="120"/>
        <w:jc w:val="both"/>
        <w:rPr>
          <w:sz w:val="22"/>
          <w:szCs w:val="22"/>
        </w:rPr>
      </w:pPr>
    </w:p>
    <w:p w14:paraId="018AEFC0" w14:textId="77777777" w:rsidR="00B95A86" w:rsidRDefault="00E65B99">
      <w:pPr>
        <w:spacing w:before="120" w:after="120"/>
        <w:jc w:val="both"/>
        <w:rPr>
          <w:sz w:val="22"/>
          <w:szCs w:val="22"/>
        </w:rPr>
      </w:pPr>
      <w:r>
        <w:rPr>
          <w:sz w:val="22"/>
          <w:szCs w:val="22"/>
        </w:rPr>
        <w:t>They must include the requested documents in clause 4 above and be sent:</w:t>
      </w:r>
    </w:p>
    <w:p w14:paraId="018AEFC1" w14:textId="77777777" w:rsidR="00B95A86" w:rsidRDefault="00E65B99">
      <w:pPr>
        <w:keepNext/>
        <w:keepLines/>
        <w:numPr>
          <w:ilvl w:val="0"/>
          <w:numId w:val="14"/>
        </w:numPr>
        <w:spacing w:before="120" w:after="120"/>
        <w:jc w:val="both"/>
        <w:rPr>
          <w:sz w:val="22"/>
          <w:szCs w:val="22"/>
        </w:rPr>
      </w:pPr>
      <w:r>
        <w:rPr>
          <w:b/>
          <w:sz w:val="22"/>
          <w:szCs w:val="22"/>
        </w:rPr>
        <w:t>EITHER</w:t>
      </w:r>
      <w:r>
        <w:rPr>
          <w:sz w:val="22"/>
          <w:szCs w:val="22"/>
        </w:rPr>
        <w:t xml:space="preserve"> by recorded delivery (official postal service) to:</w:t>
      </w:r>
    </w:p>
    <w:p w14:paraId="018AEFC2" w14:textId="106468F5" w:rsidR="00B95A86" w:rsidRDefault="00E65B99">
      <w:pPr>
        <w:keepNext/>
        <w:keepLines/>
        <w:widowControl w:val="0"/>
        <w:pBdr>
          <w:top w:val="nil"/>
          <w:left w:val="nil"/>
          <w:bottom w:val="nil"/>
          <w:right w:val="nil"/>
          <w:between w:val="nil"/>
        </w:pBdr>
        <w:spacing w:before="120" w:after="120"/>
        <w:ind w:left="360" w:right="360" w:hanging="360"/>
        <w:jc w:val="center"/>
        <w:rPr>
          <w:color w:val="000000"/>
          <w:sz w:val="22"/>
          <w:szCs w:val="22"/>
        </w:rPr>
      </w:pPr>
      <w:r>
        <w:rPr>
          <w:i/>
          <w:color w:val="000000"/>
          <w:sz w:val="22"/>
          <w:szCs w:val="22"/>
        </w:rPr>
        <w:t>&lt;</w:t>
      </w:r>
      <w:r>
        <w:rPr>
          <w:color w:val="000000"/>
          <w:sz w:val="22"/>
          <w:szCs w:val="22"/>
          <w:highlight w:val="yellow"/>
        </w:rPr>
        <w:t>Address of Contracting Authority</w:t>
      </w:r>
      <w:r>
        <w:rPr>
          <w:i/>
          <w:color w:val="000000"/>
          <w:sz w:val="22"/>
          <w:szCs w:val="22"/>
        </w:rPr>
        <w:t>&gt;</w:t>
      </w:r>
      <w:r>
        <w:rPr>
          <w:color w:val="000000"/>
          <w:sz w:val="22"/>
          <w:szCs w:val="22"/>
        </w:rPr>
        <w:t>]</w:t>
      </w:r>
      <w:r>
        <w:rPr>
          <w:i/>
          <w:color w:val="000000"/>
          <w:sz w:val="22"/>
          <w:szCs w:val="22"/>
        </w:rPr>
        <w:br/>
      </w:r>
      <w:r>
        <w:rPr>
          <w:color w:val="000000"/>
          <w:sz w:val="22"/>
          <w:szCs w:val="22"/>
        </w:rPr>
        <w:br/>
      </w:r>
    </w:p>
    <w:p w14:paraId="018AEFC3" w14:textId="77777777" w:rsidR="00B95A86" w:rsidRDefault="00E65B99" w:rsidP="004627BD">
      <w:pPr>
        <w:keepNext/>
        <w:keepLines/>
        <w:widowControl w:val="0"/>
        <w:spacing w:before="120" w:after="120"/>
        <w:ind w:left="360" w:right="360" w:hanging="360"/>
        <w:jc w:val="center"/>
        <w:rPr>
          <w:sz w:val="22"/>
          <w:szCs w:val="22"/>
        </w:rPr>
      </w:pPr>
      <w:r>
        <w:rPr>
          <w:sz w:val="22"/>
          <w:szCs w:val="22"/>
        </w:rPr>
        <w:t>In this case, the delivery record makes proof of compliance with the time-limit for receipt.</w:t>
      </w:r>
    </w:p>
    <w:p w14:paraId="018AEFC4" w14:textId="77777777" w:rsidR="00B95A86" w:rsidRDefault="00E65B99">
      <w:pPr>
        <w:numPr>
          <w:ilvl w:val="0"/>
          <w:numId w:val="14"/>
        </w:numPr>
        <w:spacing w:before="120" w:after="120"/>
        <w:jc w:val="both"/>
        <w:rPr>
          <w:sz w:val="22"/>
          <w:szCs w:val="22"/>
        </w:rPr>
      </w:pPr>
      <w:r>
        <w:rPr>
          <w:b/>
          <w:sz w:val="22"/>
          <w:szCs w:val="22"/>
        </w:rPr>
        <w:t>OR</w:t>
      </w:r>
      <w:r>
        <w:rPr>
          <w:sz w:val="22"/>
          <w:szCs w:val="22"/>
        </w:rPr>
        <w:t xml:space="preserve"> hand delivered (including courier services) directly to the Contracting Authority against a signed and dated receipt to:</w:t>
      </w:r>
    </w:p>
    <w:p w14:paraId="018AEFC5" w14:textId="7FB76AA4" w:rsidR="00B95A86" w:rsidRDefault="00E65B99">
      <w:pPr>
        <w:widowControl w:val="0"/>
        <w:pBdr>
          <w:top w:val="nil"/>
          <w:left w:val="nil"/>
          <w:bottom w:val="nil"/>
          <w:right w:val="nil"/>
          <w:between w:val="nil"/>
        </w:pBdr>
        <w:spacing w:before="120" w:after="120"/>
        <w:ind w:left="360" w:right="360" w:hanging="360"/>
        <w:jc w:val="center"/>
        <w:rPr>
          <w:color w:val="000000"/>
          <w:sz w:val="22"/>
          <w:szCs w:val="22"/>
        </w:rPr>
      </w:pPr>
      <w:r>
        <w:rPr>
          <w:i/>
          <w:color w:val="000000"/>
          <w:sz w:val="22"/>
          <w:szCs w:val="22"/>
        </w:rPr>
        <w:t>&lt;</w:t>
      </w:r>
      <w:r>
        <w:rPr>
          <w:color w:val="000000"/>
          <w:sz w:val="22"/>
          <w:szCs w:val="22"/>
          <w:highlight w:val="yellow"/>
        </w:rPr>
        <w:t>Address of Contracting Authority</w:t>
      </w:r>
      <w:r>
        <w:rPr>
          <w:color w:val="000000"/>
          <w:sz w:val="22"/>
          <w:szCs w:val="22"/>
        </w:rPr>
        <w:t xml:space="preserve"> </w:t>
      </w:r>
      <w:r>
        <w:rPr>
          <w:color w:val="000000"/>
          <w:sz w:val="22"/>
          <w:szCs w:val="22"/>
          <w:highlight w:val="yellow"/>
        </w:rPr>
        <w:t>including opening hours</w:t>
      </w:r>
      <w:r>
        <w:rPr>
          <w:color w:val="000000"/>
          <w:sz w:val="22"/>
          <w:szCs w:val="22"/>
        </w:rPr>
        <w:t xml:space="preserve"> </w:t>
      </w:r>
      <w:r>
        <w:rPr>
          <w:i/>
          <w:color w:val="000000"/>
          <w:sz w:val="22"/>
          <w:szCs w:val="22"/>
        </w:rPr>
        <w:t>&gt;</w:t>
      </w:r>
      <w:r>
        <w:rPr>
          <w:color w:val="000000"/>
          <w:sz w:val="22"/>
          <w:szCs w:val="22"/>
        </w:rPr>
        <w:t>]</w:t>
      </w:r>
      <w:r>
        <w:rPr>
          <w:i/>
          <w:color w:val="000000"/>
          <w:sz w:val="22"/>
          <w:szCs w:val="22"/>
        </w:rPr>
        <w:br/>
      </w:r>
      <w:r>
        <w:rPr>
          <w:color w:val="000000"/>
          <w:sz w:val="22"/>
          <w:szCs w:val="22"/>
        </w:rPr>
        <w:br/>
      </w:r>
    </w:p>
    <w:p w14:paraId="018AEFC6" w14:textId="77777777" w:rsidR="00B95A86" w:rsidRDefault="00E65B99" w:rsidP="004627BD">
      <w:pPr>
        <w:widowControl w:val="0"/>
        <w:spacing w:before="120" w:after="120"/>
        <w:ind w:left="360" w:right="360" w:hanging="360"/>
        <w:jc w:val="center"/>
        <w:rPr>
          <w:sz w:val="22"/>
          <w:szCs w:val="22"/>
        </w:rPr>
      </w:pPr>
      <w:r>
        <w:rPr>
          <w:sz w:val="22"/>
          <w:szCs w:val="22"/>
        </w:rPr>
        <w:t>In this case, the acknowledgment of receipt makes proof of compliance with the time-limit for receipt.</w:t>
      </w:r>
    </w:p>
    <w:p w14:paraId="018AEFC7" w14:textId="3A831B1A" w:rsidR="00B95A86" w:rsidRDefault="00E65B99">
      <w:pPr>
        <w:spacing w:before="120" w:after="120"/>
        <w:jc w:val="both"/>
        <w:rPr>
          <w:sz w:val="22"/>
          <w:szCs w:val="22"/>
        </w:rPr>
      </w:pPr>
      <w:r>
        <w:rPr>
          <w:b/>
          <w:sz w:val="22"/>
          <w:szCs w:val="22"/>
        </w:rPr>
        <w:t xml:space="preserve">Tenders submitted by any other means will not be </w:t>
      </w:r>
      <w:proofErr w:type="spellStart"/>
      <w:r>
        <w:rPr>
          <w:b/>
          <w:sz w:val="22"/>
          <w:szCs w:val="22"/>
        </w:rPr>
        <w:t>considered.</w:t>
      </w:r>
      <w:r>
        <w:rPr>
          <w:sz w:val="22"/>
          <w:szCs w:val="22"/>
        </w:rPr>
        <w:t>Tenders</w:t>
      </w:r>
      <w:proofErr w:type="spellEnd"/>
      <w:r>
        <w:rPr>
          <w:sz w:val="22"/>
          <w:szCs w:val="22"/>
        </w:rPr>
        <w:t xml:space="preserve"> must be submitted using the double envelope system, i.e., in an outer parcel or envelope containing two separate, sealed envelopes, one bearing the words ‘</w:t>
      </w:r>
      <w:r>
        <w:rPr>
          <w:b/>
          <w:sz w:val="22"/>
          <w:szCs w:val="22"/>
        </w:rPr>
        <w:t>Envelope A — Technical offer’</w:t>
      </w:r>
      <w:r>
        <w:rPr>
          <w:sz w:val="22"/>
          <w:szCs w:val="22"/>
        </w:rPr>
        <w:t xml:space="preserve"> and the other ‘</w:t>
      </w:r>
      <w:r>
        <w:rPr>
          <w:b/>
          <w:sz w:val="22"/>
          <w:szCs w:val="22"/>
        </w:rPr>
        <w:t>Envelope B — Financial offer’</w:t>
      </w:r>
      <w:r>
        <w:rPr>
          <w:sz w:val="22"/>
          <w:szCs w:val="22"/>
        </w:rPr>
        <w:t>. All parts of the tender other than the financial offer must be submitted in Envelope A (i.e., including the tender submission form, statements of exclusivity and availability of the key experts and declarations).</w:t>
      </w:r>
    </w:p>
    <w:p w14:paraId="018AEFC8" w14:textId="4B9A6CE2" w:rsidR="00B95A86" w:rsidRDefault="00E65B99">
      <w:pPr>
        <w:spacing w:before="120" w:after="120"/>
        <w:jc w:val="both"/>
        <w:rPr>
          <w:sz w:val="22"/>
          <w:szCs w:val="22"/>
        </w:rPr>
      </w:pPr>
      <w:r>
        <w:rPr>
          <w:b/>
          <w:sz w:val="22"/>
          <w:szCs w:val="22"/>
        </w:rPr>
        <w:lastRenderedPageBreak/>
        <w:t>Any infringement of these rules constitutes an irregularity which may lead to rejection of the tender.</w:t>
      </w:r>
      <w:r>
        <w:rPr>
          <w:sz w:val="22"/>
          <w:szCs w:val="22"/>
        </w:rPr>
        <w:t xml:space="preserve"> </w:t>
      </w:r>
    </w:p>
    <w:p w14:paraId="018AEFC9" w14:textId="77777777" w:rsidR="00B95A86" w:rsidRDefault="00E65B99">
      <w:pPr>
        <w:spacing w:before="120" w:after="120"/>
        <w:jc w:val="both"/>
        <w:rPr>
          <w:sz w:val="22"/>
          <w:szCs w:val="22"/>
        </w:rPr>
      </w:pPr>
      <w:r>
        <w:rPr>
          <w:sz w:val="22"/>
          <w:szCs w:val="22"/>
        </w:rPr>
        <w:t xml:space="preserve">The outer envelope should provide the following information: </w:t>
      </w:r>
    </w:p>
    <w:p w14:paraId="018AEFCA" w14:textId="77777777" w:rsidR="00B95A86" w:rsidRDefault="00E65B99">
      <w:pPr>
        <w:numPr>
          <w:ilvl w:val="0"/>
          <w:numId w:val="6"/>
        </w:numPr>
        <w:spacing w:before="120" w:after="120"/>
        <w:ind w:left="426" w:hanging="284"/>
        <w:rPr>
          <w:sz w:val="22"/>
          <w:szCs w:val="22"/>
        </w:rPr>
      </w:pPr>
      <w:r>
        <w:rPr>
          <w:sz w:val="22"/>
          <w:szCs w:val="22"/>
        </w:rPr>
        <w:t xml:space="preserve">the address for submitting tenders indicated above; </w:t>
      </w:r>
    </w:p>
    <w:p w14:paraId="018AEFCB" w14:textId="77777777" w:rsidR="00B95A86" w:rsidRDefault="00E65B99">
      <w:pPr>
        <w:numPr>
          <w:ilvl w:val="0"/>
          <w:numId w:val="6"/>
        </w:numPr>
        <w:spacing w:before="120" w:after="120"/>
        <w:ind w:left="426" w:hanging="284"/>
        <w:rPr>
          <w:sz w:val="22"/>
          <w:szCs w:val="22"/>
        </w:rPr>
      </w:pPr>
      <w:r>
        <w:rPr>
          <w:sz w:val="22"/>
          <w:szCs w:val="22"/>
        </w:rPr>
        <w:t xml:space="preserve">the reference code of the tender procedure (i.e. </w:t>
      </w:r>
      <w:r>
        <w:rPr>
          <w:b/>
          <w:sz w:val="22"/>
          <w:szCs w:val="22"/>
        </w:rPr>
        <w:t>&lt;</w:t>
      </w:r>
      <w:r>
        <w:rPr>
          <w:sz w:val="22"/>
          <w:szCs w:val="22"/>
          <w:highlight w:val="yellow"/>
        </w:rPr>
        <w:t>publication reference</w:t>
      </w:r>
      <w:r>
        <w:rPr>
          <w:b/>
          <w:sz w:val="22"/>
          <w:szCs w:val="22"/>
        </w:rPr>
        <w:t>&gt;</w:t>
      </w:r>
      <w:r>
        <w:rPr>
          <w:sz w:val="22"/>
          <w:szCs w:val="22"/>
        </w:rPr>
        <w:t>);</w:t>
      </w:r>
    </w:p>
    <w:p w14:paraId="018AEFCC" w14:textId="77777777" w:rsidR="00B95A86" w:rsidRDefault="00E65B99">
      <w:pPr>
        <w:numPr>
          <w:ilvl w:val="0"/>
          <w:numId w:val="6"/>
        </w:numPr>
        <w:spacing w:before="120" w:after="120"/>
        <w:ind w:left="426" w:hanging="284"/>
        <w:rPr>
          <w:sz w:val="22"/>
          <w:szCs w:val="22"/>
        </w:rPr>
      </w:pPr>
      <w:r>
        <w:rPr>
          <w:sz w:val="22"/>
          <w:szCs w:val="22"/>
        </w:rPr>
        <w:t>the words ‘Not to be opened before the tender-opening session’ and &lt;</w:t>
      </w:r>
      <w:r>
        <w:rPr>
          <w:sz w:val="22"/>
          <w:szCs w:val="22"/>
          <w:highlight w:val="yellow"/>
        </w:rPr>
        <w:t>equivalent phrase in local language</w:t>
      </w:r>
      <w:r>
        <w:rPr>
          <w:sz w:val="22"/>
          <w:szCs w:val="22"/>
        </w:rPr>
        <w:t>&gt;;</w:t>
      </w:r>
    </w:p>
    <w:p w14:paraId="018AEFCD" w14:textId="77777777" w:rsidR="00B95A86" w:rsidRDefault="00E65B99">
      <w:pPr>
        <w:numPr>
          <w:ilvl w:val="0"/>
          <w:numId w:val="6"/>
        </w:numPr>
        <w:spacing w:before="120" w:after="120"/>
        <w:ind w:left="426" w:hanging="284"/>
        <w:rPr>
          <w:sz w:val="22"/>
          <w:szCs w:val="22"/>
        </w:rPr>
      </w:pPr>
      <w:r>
        <w:rPr>
          <w:sz w:val="22"/>
          <w:szCs w:val="22"/>
        </w:rPr>
        <w:t>the name of the tenderer.</w:t>
      </w:r>
    </w:p>
    <w:tbl>
      <w:tblPr>
        <w:tblStyle w:val="a5"/>
        <w:tblW w:w="838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80"/>
      </w:tblGrid>
      <w:tr w:rsidR="00B95A86" w14:paraId="018AEFD3" w14:textId="77777777">
        <w:tc>
          <w:tcPr>
            <w:tcW w:w="8380" w:type="dxa"/>
          </w:tcPr>
          <w:p w14:paraId="018AEFCE" w14:textId="77777777" w:rsidR="00B95A86" w:rsidRDefault="00E65B99">
            <w:pPr>
              <w:jc w:val="both"/>
              <w:rPr>
                <w:sz w:val="22"/>
                <w:szCs w:val="22"/>
                <w:highlight w:val="yellow"/>
              </w:rPr>
            </w:pPr>
            <w:r>
              <w:rPr>
                <w:sz w:val="22"/>
                <w:szCs w:val="22"/>
                <w:highlight w:val="yellow"/>
              </w:rPr>
              <w:t>Please note that minor mistakes and / or omissions such as:</w:t>
            </w:r>
          </w:p>
          <w:p w14:paraId="018AEFCF" w14:textId="77777777" w:rsidR="00B95A86" w:rsidRDefault="00E65B99">
            <w:pPr>
              <w:numPr>
                <w:ilvl w:val="0"/>
                <w:numId w:val="7"/>
              </w:numPr>
              <w:jc w:val="both"/>
              <w:rPr>
                <w:sz w:val="22"/>
                <w:szCs w:val="22"/>
              </w:rPr>
            </w:pPr>
            <w:r>
              <w:rPr>
                <w:sz w:val="22"/>
                <w:szCs w:val="22"/>
                <w:highlight w:val="yellow"/>
              </w:rPr>
              <w:t xml:space="preserve">delivering lower number of copies than requested, </w:t>
            </w:r>
          </w:p>
          <w:p w14:paraId="018AEFD0" w14:textId="77777777" w:rsidR="00B95A86" w:rsidRDefault="00E65B99">
            <w:pPr>
              <w:numPr>
                <w:ilvl w:val="0"/>
                <w:numId w:val="7"/>
              </w:numPr>
              <w:jc w:val="both"/>
              <w:rPr>
                <w:sz w:val="22"/>
                <w:szCs w:val="22"/>
              </w:rPr>
            </w:pPr>
            <w:r>
              <w:rPr>
                <w:sz w:val="22"/>
                <w:szCs w:val="22"/>
                <w:highlight w:val="yellow"/>
              </w:rPr>
              <w:t>not delivering electronic copy (if required)</w:t>
            </w:r>
            <w:r>
              <w:rPr>
                <w:sz w:val="22"/>
                <w:szCs w:val="22"/>
              </w:rPr>
              <w:t>,</w:t>
            </w:r>
          </w:p>
          <w:p w14:paraId="018AEFD1" w14:textId="77777777" w:rsidR="00B95A86" w:rsidRDefault="00E65B99">
            <w:pPr>
              <w:numPr>
                <w:ilvl w:val="0"/>
                <w:numId w:val="7"/>
              </w:numPr>
              <w:jc w:val="both"/>
              <w:rPr>
                <w:sz w:val="22"/>
                <w:szCs w:val="22"/>
                <w:highlight w:val="yellow"/>
              </w:rPr>
            </w:pPr>
            <w:r>
              <w:rPr>
                <w:sz w:val="22"/>
                <w:szCs w:val="22"/>
                <w:highlight w:val="yellow"/>
              </w:rPr>
              <w:t>mistakes in wording, etc.</w:t>
            </w:r>
          </w:p>
          <w:p w14:paraId="018AEFD2" w14:textId="77777777" w:rsidR="00B95A86" w:rsidRDefault="00E65B99">
            <w:pPr>
              <w:spacing w:before="120" w:after="120"/>
              <w:rPr>
                <w:sz w:val="22"/>
                <w:szCs w:val="22"/>
              </w:rPr>
            </w:pPr>
            <w:r>
              <w:rPr>
                <w:sz w:val="22"/>
                <w:szCs w:val="22"/>
                <w:highlight w:val="yellow"/>
              </w:rPr>
              <w:t>should not be reasons for rejecting tenders</w:t>
            </w:r>
          </w:p>
        </w:tc>
      </w:tr>
    </w:tbl>
    <w:p w14:paraId="018AEFD4" w14:textId="77777777" w:rsidR="00B95A86" w:rsidRPr="004627BD" w:rsidRDefault="00B95A86" w:rsidP="004627BD">
      <w:pPr>
        <w:spacing w:before="120" w:after="120"/>
        <w:ind w:left="142" w:hanging="284"/>
        <w:rPr>
          <w:rFonts w:ascii="Arial" w:eastAsia="Arial" w:hAnsi="Arial" w:cs="Arial"/>
          <w:color w:val="000000"/>
          <w:sz w:val="22"/>
          <w:szCs w:val="22"/>
        </w:rPr>
      </w:pPr>
    </w:p>
    <w:p w14:paraId="018AEFD5" w14:textId="7E4FFAAE" w:rsidR="00B95A86" w:rsidRDefault="00E65B99">
      <w:pPr>
        <w:spacing w:before="120" w:after="120"/>
        <w:jc w:val="both"/>
        <w:rPr>
          <w:sz w:val="22"/>
          <w:szCs w:val="22"/>
        </w:rPr>
      </w:pPr>
      <w:r>
        <w:rPr>
          <w:sz w:val="22"/>
          <w:szCs w:val="22"/>
        </w:rPr>
        <w:t>Each envelope must include an index of its contents. The pages of the Technical and Financial offers should be numbered.</w:t>
      </w:r>
    </w:p>
    <w:p w14:paraId="018AEFD6" w14:textId="77777777" w:rsidR="00B95A86" w:rsidRDefault="00E65B99">
      <w:pPr>
        <w:keepNext/>
        <w:numPr>
          <w:ilvl w:val="0"/>
          <w:numId w:val="8"/>
        </w:numPr>
        <w:spacing w:before="120" w:after="120"/>
        <w:jc w:val="both"/>
        <w:rPr>
          <w:sz w:val="24"/>
          <w:szCs w:val="24"/>
        </w:rPr>
      </w:pPr>
      <w:r>
        <w:rPr>
          <w:b/>
          <w:sz w:val="24"/>
          <w:szCs w:val="24"/>
        </w:rPr>
        <w:t>Amending or withdrawing tenders</w:t>
      </w:r>
    </w:p>
    <w:p w14:paraId="018AEFD7" w14:textId="77777777" w:rsidR="00B95A86" w:rsidRDefault="00E65B99">
      <w:pPr>
        <w:spacing w:before="120" w:after="120"/>
        <w:jc w:val="both"/>
        <w:rPr>
          <w:sz w:val="22"/>
          <w:szCs w:val="22"/>
        </w:rPr>
      </w:pPr>
      <w:r>
        <w:rPr>
          <w:sz w:val="22"/>
          <w:szCs w:val="22"/>
        </w:rPr>
        <w:t>Tenderers may amend or withdraw their tenders by written notification prior to the deadline for submitting tenders. Tenders may not be amended after this deadline.</w:t>
      </w:r>
    </w:p>
    <w:p w14:paraId="018AEFD8" w14:textId="5D50EA95" w:rsidR="00B95A86" w:rsidRDefault="00E65B99">
      <w:pPr>
        <w:spacing w:before="120" w:after="120"/>
        <w:jc w:val="both"/>
        <w:rPr>
          <w:sz w:val="22"/>
          <w:szCs w:val="22"/>
        </w:rPr>
      </w:pPr>
      <w:r>
        <w:rPr>
          <w:sz w:val="22"/>
          <w:szCs w:val="22"/>
        </w:rPr>
        <w:t>Any such notification of amendment or withdrawal must be prepared and submitted in accordance with Clause 8. The outer envelope must be marked ‘Amendment’ or ‘Withdrawal’ as appropriate.</w:t>
      </w:r>
    </w:p>
    <w:p w14:paraId="018AEFD9" w14:textId="77777777" w:rsidR="00B95A86" w:rsidRDefault="00E65B99">
      <w:pPr>
        <w:keepNext/>
        <w:keepLines/>
        <w:numPr>
          <w:ilvl w:val="0"/>
          <w:numId w:val="8"/>
        </w:numPr>
        <w:spacing w:before="120" w:after="120"/>
        <w:jc w:val="both"/>
        <w:rPr>
          <w:sz w:val="24"/>
          <w:szCs w:val="24"/>
        </w:rPr>
      </w:pPr>
      <w:r>
        <w:rPr>
          <w:b/>
          <w:sz w:val="24"/>
          <w:szCs w:val="24"/>
        </w:rPr>
        <w:t>Costs for preparing tenders</w:t>
      </w:r>
    </w:p>
    <w:p w14:paraId="018AEFDA" w14:textId="77777777" w:rsidR="00B95A86" w:rsidRDefault="00E65B99">
      <w:pPr>
        <w:keepNext/>
        <w:keepLines/>
        <w:spacing w:before="120" w:after="120"/>
        <w:jc w:val="both"/>
        <w:rPr>
          <w:sz w:val="22"/>
          <w:szCs w:val="22"/>
        </w:rPr>
      </w:pPr>
      <w:r>
        <w:rPr>
          <w:sz w:val="22"/>
          <w:szCs w:val="22"/>
        </w:rPr>
        <w:t>No costs incurred by the tenderer in preparing and submitting the tender are reimbursable. All such costs must be borne by the tenderer, including the cost of interviewing proposed experts.</w:t>
      </w:r>
    </w:p>
    <w:p w14:paraId="018AEFDB" w14:textId="77777777" w:rsidR="00B95A86" w:rsidRDefault="00E65B99">
      <w:pPr>
        <w:numPr>
          <w:ilvl w:val="0"/>
          <w:numId w:val="8"/>
        </w:numPr>
        <w:spacing w:before="120" w:after="120"/>
        <w:jc w:val="both"/>
        <w:rPr>
          <w:sz w:val="24"/>
          <w:szCs w:val="24"/>
        </w:rPr>
      </w:pPr>
      <w:r>
        <w:rPr>
          <w:b/>
          <w:sz w:val="24"/>
          <w:szCs w:val="24"/>
        </w:rPr>
        <w:t>Ownership of tenders</w:t>
      </w:r>
    </w:p>
    <w:p w14:paraId="018AEFDC" w14:textId="77777777" w:rsidR="00B95A86" w:rsidRDefault="00E65B99">
      <w:pPr>
        <w:spacing w:before="120" w:after="120"/>
        <w:jc w:val="both"/>
        <w:rPr>
          <w:sz w:val="22"/>
          <w:szCs w:val="22"/>
        </w:rPr>
      </w:pPr>
      <w:r>
        <w:rPr>
          <w:sz w:val="22"/>
          <w:szCs w:val="22"/>
        </w:rPr>
        <w:t>The Contracting Authority retains ownership of all tenders received under this tendering procedure. Consequently, tenderers do not have the right to have their tenders returned to them.</w:t>
      </w:r>
    </w:p>
    <w:p w14:paraId="018AEFDD" w14:textId="77777777" w:rsidR="00B95A86" w:rsidRDefault="00E65B99">
      <w:pPr>
        <w:numPr>
          <w:ilvl w:val="0"/>
          <w:numId w:val="8"/>
        </w:numPr>
        <w:spacing w:before="120" w:after="120"/>
        <w:jc w:val="both"/>
        <w:rPr>
          <w:sz w:val="24"/>
          <w:szCs w:val="24"/>
        </w:rPr>
      </w:pPr>
      <w:r>
        <w:rPr>
          <w:b/>
          <w:sz w:val="24"/>
          <w:szCs w:val="24"/>
        </w:rPr>
        <w:t>Evaluation of tenders</w:t>
      </w:r>
    </w:p>
    <w:p w14:paraId="018AEFDE" w14:textId="77777777" w:rsidR="00B95A86" w:rsidRDefault="00E65B99">
      <w:pPr>
        <w:spacing w:before="120" w:after="120"/>
        <w:jc w:val="both"/>
        <w:rPr>
          <w:sz w:val="22"/>
          <w:szCs w:val="22"/>
        </w:rPr>
      </w:pPr>
      <w:r>
        <w:rPr>
          <w:b/>
          <w:sz w:val="22"/>
          <w:szCs w:val="22"/>
        </w:rPr>
        <w:t>12.1.</w:t>
      </w:r>
      <w:r>
        <w:rPr>
          <w:b/>
          <w:sz w:val="22"/>
          <w:szCs w:val="22"/>
        </w:rPr>
        <w:tab/>
        <w:t>Evaluation of technical offers</w:t>
      </w:r>
    </w:p>
    <w:p w14:paraId="018AEFDF" w14:textId="77777777" w:rsidR="00B95A86" w:rsidRDefault="00E65B99">
      <w:pPr>
        <w:spacing w:before="120" w:after="120"/>
        <w:jc w:val="both"/>
        <w:rPr>
          <w:sz w:val="22"/>
          <w:szCs w:val="22"/>
        </w:rPr>
      </w:pPr>
      <w:r>
        <w:rPr>
          <w:sz w:val="22"/>
          <w:szCs w:val="22"/>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14:paraId="018AEFE0" w14:textId="677F3E61" w:rsidR="00B95A86" w:rsidRDefault="00E65B99">
      <w:pPr>
        <w:jc w:val="both"/>
        <w:rPr>
          <w:sz w:val="22"/>
          <w:szCs w:val="22"/>
        </w:rPr>
      </w:pPr>
      <w:r>
        <w:rPr>
          <w:sz w:val="22"/>
          <w:szCs w:val="22"/>
        </w:rPr>
        <w:t xml:space="preserve">The evaluation of the technical offers will follow the procedures set out in Section </w:t>
      </w:r>
      <w:r w:rsidR="009978C0" w:rsidRPr="009978C0">
        <w:rPr>
          <w:sz w:val="22"/>
          <w:szCs w:val="22"/>
        </w:rPr>
        <w:t>3.4.10.3.  Evaluation of offers</w:t>
      </w:r>
      <w:r w:rsidR="009978C0">
        <w:rPr>
          <w:sz w:val="22"/>
          <w:szCs w:val="22"/>
        </w:rPr>
        <w:t xml:space="preserve"> of the PRAG (available at: </w:t>
      </w:r>
      <w:hyperlink r:id="rId8" w:anchor="id-3.ServiceContracts-3.4.10.3.Evaluationofoffers" w:history="1">
        <w:r w:rsidR="009978C0" w:rsidRPr="003103BC">
          <w:rPr>
            <w:rStyle w:val="Hyperlink"/>
            <w:sz w:val="22"/>
            <w:szCs w:val="22"/>
          </w:rPr>
          <w:t>https://wikis.ec.europa.eu/display/ExactExternalWiki/3.+Service+Contracts#id-3.ServiceContracts-3.4.10.3.Evaluationofoffers</w:t>
        </w:r>
      </w:hyperlink>
      <w:r w:rsidR="009978C0">
        <w:rPr>
          <w:sz w:val="22"/>
          <w:szCs w:val="22"/>
        </w:rPr>
        <w:t xml:space="preserve"> )</w:t>
      </w:r>
      <w:r>
        <w:rPr>
          <w:sz w:val="22"/>
          <w:szCs w:val="22"/>
        </w:rPr>
        <w:t>.</w:t>
      </w:r>
    </w:p>
    <w:p w14:paraId="018AEFE1" w14:textId="77777777" w:rsidR="00B95A86" w:rsidRDefault="00B95A86">
      <w:pPr>
        <w:jc w:val="both"/>
        <w:rPr>
          <w:sz w:val="22"/>
          <w:szCs w:val="22"/>
          <w:highlight w:val="lightGray"/>
        </w:rPr>
      </w:pPr>
    </w:p>
    <w:tbl>
      <w:tblPr>
        <w:tblStyle w:val="a6"/>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F2" w14:textId="77777777">
        <w:tc>
          <w:tcPr>
            <w:tcW w:w="8522" w:type="dxa"/>
          </w:tcPr>
          <w:p w14:paraId="018AEFE2" w14:textId="4223882D" w:rsidR="00B95A86" w:rsidRDefault="00E65B99">
            <w:pPr>
              <w:rPr>
                <w:sz w:val="22"/>
                <w:szCs w:val="22"/>
                <w:highlight w:val="yellow"/>
              </w:rPr>
            </w:pPr>
            <w:r>
              <w:rPr>
                <w:sz w:val="22"/>
                <w:szCs w:val="22"/>
                <w:highlight w:val="yellow"/>
              </w:rPr>
              <w:t>Impor</w:t>
            </w:r>
            <w:r w:rsidR="00383D1A">
              <w:rPr>
                <w:sz w:val="22"/>
                <w:szCs w:val="22"/>
                <w:highlight w:val="yellow"/>
              </w:rPr>
              <w:t>t</w:t>
            </w:r>
            <w:r>
              <w:rPr>
                <w:sz w:val="22"/>
                <w:szCs w:val="22"/>
                <w:highlight w:val="yellow"/>
              </w:rPr>
              <w:t>ant note :</w:t>
            </w:r>
          </w:p>
          <w:p w14:paraId="018AEFE3" w14:textId="77777777" w:rsidR="00B95A86" w:rsidRDefault="00E65B99">
            <w:pPr>
              <w:pBdr>
                <w:top w:val="nil"/>
                <w:left w:val="nil"/>
                <w:bottom w:val="nil"/>
                <w:right w:val="nil"/>
                <w:between w:val="nil"/>
              </w:pBdr>
              <w:jc w:val="both"/>
              <w:rPr>
                <w:color w:val="000000"/>
                <w:sz w:val="22"/>
                <w:szCs w:val="22"/>
                <w:highlight w:val="yellow"/>
              </w:rPr>
            </w:pPr>
            <w:r>
              <w:rPr>
                <w:color w:val="000000"/>
                <w:sz w:val="22"/>
                <w:szCs w:val="22"/>
                <w:highlight w:val="yellow"/>
              </w:rPr>
              <w:t xml:space="preserve">Best practice in public procurement </w:t>
            </w:r>
            <w:r>
              <w:rPr>
                <w:b/>
                <w:color w:val="000000"/>
                <w:sz w:val="22"/>
                <w:szCs w:val="22"/>
                <w:highlight w:val="yellow"/>
                <w:u w:val="single"/>
              </w:rPr>
              <w:t>allows</w:t>
            </w:r>
            <w:r>
              <w:rPr>
                <w:color w:val="000000"/>
                <w:sz w:val="22"/>
                <w:szCs w:val="22"/>
                <w:highlight w:val="yellow"/>
              </w:rPr>
              <w:t xml:space="preserve"> tenders to be supplemented </w:t>
            </w:r>
            <w:r>
              <w:rPr>
                <w:b/>
                <w:color w:val="000000"/>
                <w:sz w:val="22"/>
                <w:szCs w:val="22"/>
                <w:highlight w:val="yellow"/>
                <w:u w:val="single"/>
              </w:rPr>
              <w:t>in regards to the documents related to the exclusion criteria, or selection criteria</w:t>
            </w:r>
            <w:r>
              <w:rPr>
                <w:color w:val="000000"/>
                <w:sz w:val="22"/>
                <w:szCs w:val="22"/>
                <w:highlight w:val="yellow"/>
              </w:rPr>
              <w:t xml:space="preserve">. </w:t>
            </w:r>
          </w:p>
          <w:p w14:paraId="018AEFE4" w14:textId="77777777" w:rsidR="00B95A86" w:rsidRDefault="00B95A86">
            <w:pPr>
              <w:pBdr>
                <w:top w:val="nil"/>
                <w:left w:val="nil"/>
                <w:bottom w:val="nil"/>
                <w:right w:val="nil"/>
                <w:between w:val="nil"/>
              </w:pBdr>
              <w:jc w:val="both"/>
              <w:rPr>
                <w:color w:val="000000"/>
                <w:sz w:val="22"/>
                <w:szCs w:val="22"/>
                <w:highlight w:val="yellow"/>
              </w:rPr>
            </w:pPr>
          </w:p>
          <w:p w14:paraId="018AEFE5" w14:textId="77777777" w:rsidR="00B95A86" w:rsidRDefault="00E65B99">
            <w:pPr>
              <w:pBdr>
                <w:top w:val="nil"/>
                <w:left w:val="nil"/>
                <w:bottom w:val="nil"/>
                <w:right w:val="nil"/>
                <w:between w:val="nil"/>
              </w:pBdr>
              <w:jc w:val="both"/>
              <w:rPr>
                <w:color w:val="000000"/>
                <w:sz w:val="22"/>
                <w:szCs w:val="22"/>
                <w:highlight w:val="yellow"/>
              </w:rPr>
            </w:pPr>
            <w:r>
              <w:rPr>
                <w:color w:val="000000"/>
                <w:sz w:val="22"/>
                <w:szCs w:val="22"/>
                <w:highlight w:val="yellow"/>
              </w:rPr>
              <w:t xml:space="preserve">It </w:t>
            </w:r>
            <w:r>
              <w:rPr>
                <w:b/>
                <w:color w:val="000000"/>
                <w:sz w:val="22"/>
                <w:szCs w:val="22"/>
                <w:highlight w:val="yellow"/>
                <w:u w:val="single"/>
              </w:rPr>
              <w:t>does not allow</w:t>
            </w:r>
            <w:r>
              <w:rPr>
                <w:color w:val="000000"/>
                <w:sz w:val="22"/>
                <w:szCs w:val="22"/>
                <w:highlight w:val="yellow"/>
              </w:rPr>
              <w:t xml:space="preserve"> tenders to be supplemented or modified </w:t>
            </w:r>
            <w:r>
              <w:rPr>
                <w:b/>
                <w:color w:val="000000"/>
                <w:sz w:val="22"/>
                <w:szCs w:val="22"/>
                <w:highlight w:val="yellow"/>
                <w:u w:val="single"/>
              </w:rPr>
              <w:t>in regards to their technical offer</w:t>
            </w:r>
            <w:r>
              <w:rPr>
                <w:color w:val="000000"/>
                <w:sz w:val="22"/>
                <w:szCs w:val="22"/>
                <w:highlight w:val="yellow"/>
              </w:rPr>
              <w:t xml:space="preserve">. </w:t>
            </w:r>
          </w:p>
          <w:p w14:paraId="018AEFE6" w14:textId="77777777" w:rsidR="00B95A86" w:rsidRDefault="00B95A86">
            <w:pPr>
              <w:pBdr>
                <w:top w:val="nil"/>
                <w:left w:val="nil"/>
                <w:bottom w:val="nil"/>
                <w:right w:val="nil"/>
                <w:between w:val="nil"/>
              </w:pBdr>
              <w:jc w:val="both"/>
              <w:rPr>
                <w:color w:val="000000"/>
                <w:sz w:val="22"/>
                <w:szCs w:val="22"/>
                <w:highlight w:val="yellow"/>
              </w:rPr>
            </w:pPr>
          </w:p>
          <w:p w14:paraId="018AEFE7" w14:textId="77777777" w:rsidR="00B95A86" w:rsidRDefault="00E65B99">
            <w:pPr>
              <w:pBdr>
                <w:top w:val="nil"/>
                <w:left w:val="nil"/>
                <w:bottom w:val="nil"/>
                <w:right w:val="nil"/>
                <w:between w:val="nil"/>
              </w:pBdr>
              <w:jc w:val="both"/>
              <w:rPr>
                <w:color w:val="000000"/>
                <w:sz w:val="22"/>
                <w:szCs w:val="22"/>
                <w:highlight w:val="yellow"/>
              </w:rPr>
            </w:pPr>
            <w:r>
              <w:rPr>
                <w:color w:val="000000"/>
                <w:sz w:val="22"/>
                <w:szCs w:val="22"/>
                <w:highlight w:val="yellow"/>
              </w:rPr>
              <w:t xml:space="preserve">Also, best practice in public procurement shows that tenders may be accepted in cases there are formal mistakes in the tenders, but if those formal mistakes are of such nature that they do not bring into question the integrity of the tender. </w:t>
            </w:r>
          </w:p>
          <w:p w14:paraId="018AEFE8" w14:textId="77777777" w:rsidR="00B95A86" w:rsidRDefault="00B95A86">
            <w:pPr>
              <w:pBdr>
                <w:top w:val="nil"/>
                <w:left w:val="nil"/>
                <w:bottom w:val="nil"/>
                <w:right w:val="nil"/>
                <w:between w:val="nil"/>
              </w:pBdr>
              <w:jc w:val="both"/>
              <w:rPr>
                <w:color w:val="000000"/>
                <w:sz w:val="22"/>
                <w:szCs w:val="22"/>
                <w:highlight w:val="yellow"/>
              </w:rPr>
            </w:pPr>
          </w:p>
          <w:p w14:paraId="018AEFE9" w14:textId="77777777" w:rsidR="00B95A86" w:rsidRDefault="00E65B99">
            <w:pPr>
              <w:pBdr>
                <w:top w:val="nil"/>
                <w:left w:val="nil"/>
                <w:bottom w:val="nil"/>
                <w:right w:val="nil"/>
                <w:between w:val="nil"/>
              </w:pBdr>
              <w:jc w:val="both"/>
              <w:rPr>
                <w:color w:val="000000"/>
                <w:sz w:val="22"/>
                <w:szCs w:val="22"/>
                <w:highlight w:val="yellow"/>
              </w:rPr>
            </w:pPr>
            <w:r>
              <w:rPr>
                <w:color w:val="000000"/>
                <w:sz w:val="22"/>
                <w:szCs w:val="22"/>
                <w:highlight w:val="yellow"/>
              </w:rPr>
              <w:t xml:space="preserve">For example, there may be a case where Contracting Authority requests tender guarantee in original and in copy. Tenderer delivers original of the guarantee, and unreadable copy. Contracting Authority should not reject such offer since it is clear that the actual purpose of the request was achieved (having tender guarantee), and this formal mistake does not in any way affect the offer itself. Similar cases could be made e.g.: </w:t>
            </w:r>
          </w:p>
          <w:p w14:paraId="018AEFEA" w14:textId="77777777" w:rsidR="00B95A86" w:rsidRDefault="00E65B99">
            <w:pPr>
              <w:numPr>
                <w:ilvl w:val="0"/>
                <w:numId w:val="2"/>
              </w:numPr>
              <w:pBdr>
                <w:top w:val="nil"/>
                <w:left w:val="nil"/>
                <w:bottom w:val="nil"/>
                <w:right w:val="nil"/>
                <w:between w:val="nil"/>
              </w:pBdr>
              <w:jc w:val="both"/>
              <w:rPr>
                <w:color w:val="000000"/>
                <w:highlight w:val="yellow"/>
              </w:rPr>
            </w:pPr>
            <w:r>
              <w:rPr>
                <w:color w:val="000000"/>
                <w:sz w:val="22"/>
                <w:szCs w:val="22"/>
                <w:highlight w:val="yellow"/>
              </w:rPr>
              <w:t xml:space="preserve">If delivered number of requested copies of the offer is less than required </w:t>
            </w:r>
          </w:p>
          <w:p w14:paraId="018AEFEB" w14:textId="77777777" w:rsidR="00B95A86" w:rsidRDefault="00E65B99">
            <w:pPr>
              <w:numPr>
                <w:ilvl w:val="0"/>
                <w:numId w:val="2"/>
              </w:numPr>
              <w:pBdr>
                <w:top w:val="nil"/>
                <w:left w:val="nil"/>
                <w:bottom w:val="nil"/>
                <w:right w:val="nil"/>
                <w:between w:val="nil"/>
              </w:pBdr>
              <w:jc w:val="both"/>
              <w:rPr>
                <w:color w:val="000000"/>
                <w:highlight w:val="yellow"/>
              </w:rPr>
            </w:pPr>
            <w:r>
              <w:rPr>
                <w:color w:val="000000"/>
                <w:sz w:val="22"/>
                <w:szCs w:val="22"/>
                <w:highlight w:val="yellow"/>
              </w:rPr>
              <w:t>In case of wrong numbering in the offer</w:t>
            </w:r>
          </w:p>
          <w:p w14:paraId="018AEFEC" w14:textId="77777777" w:rsidR="00B95A86" w:rsidRDefault="00E65B99">
            <w:pPr>
              <w:numPr>
                <w:ilvl w:val="0"/>
                <w:numId w:val="2"/>
              </w:numPr>
              <w:pBdr>
                <w:top w:val="nil"/>
                <w:left w:val="nil"/>
                <w:bottom w:val="nil"/>
                <w:right w:val="nil"/>
                <w:between w:val="nil"/>
              </w:pBdr>
              <w:jc w:val="both"/>
              <w:rPr>
                <w:color w:val="000000"/>
                <w:highlight w:val="yellow"/>
              </w:rPr>
            </w:pPr>
            <w:r>
              <w:rPr>
                <w:color w:val="000000"/>
                <w:sz w:val="22"/>
                <w:szCs w:val="22"/>
                <w:highlight w:val="yellow"/>
              </w:rPr>
              <w:t>In case offer is duly signed, but not additionally signed or initialled in other places (even if requested)</w:t>
            </w:r>
          </w:p>
          <w:p w14:paraId="018AEFED" w14:textId="77777777" w:rsidR="00B95A86" w:rsidRDefault="00E65B99">
            <w:pPr>
              <w:numPr>
                <w:ilvl w:val="0"/>
                <w:numId w:val="2"/>
              </w:numPr>
              <w:pBdr>
                <w:top w:val="nil"/>
                <w:left w:val="nil"/>
                <w:bottom w:val="nil"/>
                <w:right w:val="nil"/>
                <w:between w:val="nil"/>
              </w:pBdr>
              <w:jc w:val="both"/>
              <w:rPr>
                <w:color w:val="000000"/>
                <w:highlight w:val="yellow"/>
              </w:rPr>
            </w:pPr>
            <w:r>
              <w:rPr>
                <w:color w:val="000000"/>
                <w:sz w:val="22"/>
                <w:szCs w:val="22"/>
                <w:highlight w:val="yellow"/>
              </w:rPr>
              <w:t xml:space="preserve">If Contracting Authority can clearly conclude offer content.     </w:t>
            </w:r>
          </w:p>
          <w:p w14:paraId="018AEFEE" w14:textId="77777777" w:rsidR="00B95A86" w:rsidRDefault="00B95A86">
            <w:pPr>
              <w:pBdr>
                <w:top w:val="nil"/>
                <w:left w:val="nil"/>
                <w:bottom w:val="nil"/>
                <w:right w:val="nil"/>
                <w:between w:val="nil"/>
              </w:pBdr>
              <w:jc w:val="both"/>
              <w:rPr>
                <w:color w:val="000000"/>
                <w:sz w:val="22"/>
                <w:szCs w:val="22"/>
                <w:highlight w:val="yellow"/>
              </w:rPr>
            </w:pPr>
          </w:p>
          <w:p w14:paraId="018AEFEF" w14:textId="77777777" w:rsidR="00B95A86" w:rsidRDefault="00E65B99">
            <w:pPr>
              <w:jc w:val="both"/>
              <w:rPr>
                <w:sz w:val="22"/>
                <w:szCs w:val="22"/>
                <w:highlight w:val="yellow"/>
              </w:rPr>
            </w:pPr>
            <w:r>
              <w:rPr>
                <w:sz w:val="22"/>
                <w:szCs w:val="22"/>
                <w:highlight w:val="yellow"/>
              </w:rPr>
              <w:t>It is clear that in example cases, conduct of the Evaluation Committee enables effective procurement and efficient spending of public procurement funds (accepting the tender offering lowest price or best value for money).</w:t>
            </w:r>
          </w:p>
          <w:p w14:paraId="018AEFF0" w14:textId="77777777" w:rsidR="00B95A86" w:rsidRDefault="00B95A86">
            <w:pPr>
              <w:jc w:val="both"/>
              <w:rPr>
                <w:sz w:val="22"/>
                <w:szCs w:val="22"/>
                <w:highlight w:val="yellow"/>
              </w:rPr>
            </w:pPr>
          </w:p>
          <w:p w14:paraId="018AEFF1" w14:textId="77777777" w:rsidR="00B95A86" w:rsidRDefault="00E65B99">
            <w:pPr>
              <w:jc w:val="both"/>
              <w:rPr>
                <w:sz w:val="22"/>
                <w:szCs w:val="22"/>
                <w:highlight w:val="yellow"/>
              </w:rPr>
            </w:pPr>
            <w:r>
              <w:rPr>
                <w:sz w:val="22"/>
                <w:szCs w:val="22"/>
                <w:highlight w:val="yellow"/>
              </w:rPr>
              <w:t>Offers should in no case be supplemented in regards to technical offers, including key experts (</w:t>
            </w:r>
            <w:proofErr w:type="spellStart"/>
            <w:r>
              <w:rPr>
                <w:sz w:val="22"/>
                <w:szCs w:val="22"/>
                <w:highlight w:val="yellow"/>
              </w:rPr>
              <w:t>i.e.criteria</w:t>
            </w:r>
            <w:proofErr w:type="spellEnd"/>
            <w:r>
              <w:rPr>
                <w:sz w:val="22"/>
                <w:szCs w:val="22"/>
                <w:highlight w:val="yellow"/>
              </w:rPr>
              <w:t xml:space="preserve"> for most economically advantageous tender). </w:t>
            </w:r>
          </w:p>
        </w:tc>
      </w:tr>
    </w:tbl>
    <w:p w14:paraId="018AEFF3" w14:textId="77777777" w:rsidR="00B95A86" w:rsidRDefault="00B95A86">
      <w:pPr>
        <w:jc w:val="both"/>
        <w:rPr>
          <w:sz w:val="22"/>
          <w:szCs w:val="22"/>
          <w:highlight w:val="lightGray"/>
        </w:rPr>
      </w:pPr>
    </w:p>
    <w:p w14:paraId="018AEFFD" w14:textId="085040C3" w:rsidR="00B95A86" w:rsidRDefault="00E65B99">
      <w:pPr>
        <w:spacing w:before="120" w:after="120"/>
        <w:jc w:val="both"/>
        <w:rPr>
          <w:sz w:val="22"/>
          <w:szCs w:val="22"/>
        </w:rPr>
      </w:pPr>
      <w:r>
        <w:rPr>
          <w:b/>
          <w:sz w:val="22"/>
          <w:szCs w:val="22"/>
        </w:rPr>
        <w:t>12.1.1.</w:t>
      </w:r>
      <w:r>
        <w:rPr>
          <w:b/>
          <w:sz w:val="22"/>
          <w:szCs w:val="22"/>
        </w:rPr>
        <w:tab/>
        <w:t xml:space="preserve">Interviews </w:t>
      </w:r>
    </w:p>
    <w:p w14:paraId="018AEFFE" w14:textId="03F11DB3" w:rsidR="00B95A86" w:rsidRDefault="00E65B99">
      <w:pPr>
        <w:spacing w:before="120" w:after="120"/>
        <w:jc w:val="both"/>
        <w:rPr>
          <w:sz w:val="22"/>
          <w:szCs w:val="22"/>
        </w:rPr>
      </w:pPr>
      <w:r w:rsidRPr="004627BD">
        <w:rPr>
          <w:sz w:val="22"/>
          <w:szCs w:val="22"/>
        </w:rPr>
        <w:t>No interviews are foreseen</w:t>
      </w:r>
      <w:r>
        <w:rPr>
          <w:sz w:val="22"/>
          <w:szCs w:val="22"/>
        </w:rPr>
        <w:t xml:space="preserve">. </w:t>
      </w:r>
    </w:p>
    <w:p w14:paraId="018AEFFF" w14:textId="77777777" w:rsidR="00B95A86" w:rsidRDefault="00E65B99">
      <w:pPr>
        <w:keepNext/>
        <w:spacing w:before="120" w:after="120"/>
        <w:jc w:val="both"/>
        <w:rPr>
          <w:sz w:val="22"/>
          <w:szCs w:val="22"/>
        </w:rPr>
      </w:pPr>
      <w:r>
        <w:rPr>
          <w:b/>
          <w:sz w:val="22"/>
          <w:szCs w:val="22"/>
        </w:rPr>
        <w:t>12.2.</w:t>
      </w:r>
      <w:r>
        <w:rPr>
          <w:b/>
          <w:sz w:val="22"/>
          <w:szCs w:val="22"/>
        </w:rPr>
        <w:tab/>
        <w:t>Evaluation of financial offers</w:t>
      </w:r>
    </w:p>
    <w:p w14:paraId="018AF002" w14:textId="57B17B64" w:rsidR="00B95A86" w:rsidRPr="004627BD" w:rsidRDefault="00E65B99">
      <w:pPr>
        <w:spacing w:before="120" w:after="120"/>
        <w:jc w:val="both"/>
        <w:rPr>
          <w:sz w:val="22"/>
          <w:szCs w:val="22"/>
        </w:rPr>
      </w:pPr>
      <w:r>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are unacceptable and will be eliminated.</w:t>
      </w:r>
    </w:p>
    <w:p w14:paraId="018AF003" w14:textId="719DEC40" w:rsidR="00B95A86" w:rsidRDefault="00E65B99">
      <w:pPr>
        <w:spacing w:before="120" w:after="120"/>
        <w:jc w:val="both"/>
        <w:rPr>
          <w:sz w:val="22"/>
          <w:szCs w:val="22"/>
        </w:rPr>
      </w:pPr>
      <w:r w:rsidRPr="004627BD">
        <w:rPr>
          <w:sz w:val="22"/>
          <w:szCs w:val="22"/>
        </w:rPr>
        <w:t>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Evaluation Committee contains an obvious error in the fee rate, in which event the total amount as quoted must prevail and the fee rate must be corrected.</w:t>
      </w:r>
    </w:p>
    <w:p w14:paraId="018AF004" w14:textId="77777777" w:rsidR="00B95A86" w:rsidRDefault="00E65B99">
      <w:pPr>
        <w:keepNext/>
        <w:spacing w:before="120" w:after="120"/>
        <w:jc w:val="both"/>
        <w:rPr>
          <w:sz w:val="22"/>
          <w:szCs w:val="22"/>
          <w:u w:val="single"/>
        </w:rPr>
      </w:pPr>
      <w:r>
        <w:rPr>
          <w:b/>
          <w:sz w:val="22"/>
          <w:szCs w:val="22"/>
        </w:rPr>
        <w:t>12.3.</w:t>
      </w:r>
      <w:r>
        <w:rPr>
          <w:b/>
          <w:sz w:val="22"/>
          <w:szCs w:val="22"/>
        </w:rPr>
        <w:tab/>
        <w:t>Choice of selected tenderer</w:t>
      </w:r>
      <w:r>
        <w:rPr>
          <w:b/>
          <w:sz w:val="22"/>
          <w:szCs w:val="22"/>
          <w:u w:val="single"/>
        </w:rPr>
        <w:t xml:space="preserve"> </w:t>
      </w:r>
    </w:p>
    <w:p w14:paraId="018AF005" w14:textId="77777777" w:rsidR="00B95A86" w:rsidRDefault="00E65B99">
      <w:pPr>
        <w:spacing w:before="120" w:after="120"/>
        <w:jc w:val="both"/>
        <w:rPr>
          <w:sz w:val="22"/>
          <w:szCs w:val="22"/>
        </w:rPr>
      </w:pPr>
      <w:r>
        <w:rPr>
          <w:sz w:val="22"/>
          <w:szCs w:val="22"/>
        </w:rPr>
        <w:t>The best price-quality ratio is established by weighing technical quality against price on an 80/20 basis.</w:t>
      </w:r>
    </w:p>
    <w:p w14:paraId="018AF006" w14:textId="60AE2E0D" w:rsidR="00B95A86" w:rsidRDefault="00B95A86">
      <w:pPr>
        <w:spacing w:before="120" w:after="120"/>
        <w:jc w:val="both"/>
        <w:rPr>
          <w:sz w:val="22"/>
          <w:szCs w:val="22"/>
        </w:rPr>
      </w:pPr>
    </w:p>
    <w:p w14:paraId="018AF007" w14:textId="77777777" w:rsidR="00B95A86" w:rsidRDefault="00E65B99">
      <w:pPr>
        <w:keepNext/>
        <w:spacing w:before="120" w:after="120"/>
        <w:jc w:val="both"/>
        <w:rPr>
          <w:sz w:val="22"/>
          <w:szCs w:val="22"/>
        </w:rPr>
      </w:pPr>
      <w:r>
        <w:rPr>
          <w:b/>
          <w:sz w:val="22"/>
          <w:szCs w:val="22"/>
        </w:rPr>
        <w:t>12.4.</w:t>
      </w:r>
      <w:r>
        <w:rPr>
          <w:b/>
          <w:sz w:val="22"/>
          <w:szCs w:val="22"/>
        </w:rPr>
        <w:tab/>
        <w:t>Confidentiality</w:t>
      </w:r>
    </w:p>
    <w:p w14:paraId="018AF008" w14:textId="77777777" w:rsidR="00B95A86" w:rsidRDefault="00E65B99">
      <w:pPr>
        <w:spacing w:before="120" w:after="120"/>
        <w:jc w:val="both"/>
        <w:rPr>
          <w:sz w:val="22"/>
          <w:szCs w:val="22"/>
        </w:rPr>
      </w:pPr>
      <w:r>
        <w:rPr>
          <w:sz w:val="22"/>
          <w:szCs w:val="22"/>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272DD590" w14:textId="77777777" w:rsidR="00A339F2" w:rsidRDefault="00A339F2">
      <w:pPr>
        <w:spacing w:before="120" w:after="120"/>
        <w:jc w:val="both"/>
        <w:rPr>
          <w:sz w:val="22"/>
          <w:szCs w:val="22"/>
        </w:rPr>
      </w:pPr>
      <w:bookmarkStart w:id="4" w:name="_GoBack"/>
      <w:bookmarkEnd w:id="4"/>
    </w:p>
    <w:p w14:paraId="2466BA66" w14:textId="77777777" w:rsidR="00A339F2" w:rsidRDefault="00A339F2">
      <w:pPr>
        <w:spacing w:before="120" w:after="120"/>
        <w:jc w:val="both"/>
        <w:rPr>
          <w:sz w:val="22"/>
          <w:szCs w:val="22"/>
        </w:rPr>
      </w:pPr>
    </w:p>
    <w:p w14:paraId="018AF009" w14:textId="60687F9A" w:rsidR="00B95A86" w:rsidRPr="00E65B99" w:rsidRDefault="00E65B99" w:rsidP="00E65B99">
      <w:pPr>
        <w:pStyle w:val="ListParagraph"/>
        <w:numPr>
          <w:ilvl w:val="0"/>
          <w:numId w:val="8"/>
        </w:numPr>
        <w:rPr>
          <w:b/>
          <w:sz w:val="24"/>
          <w:szCs w:val="24"/>
        </w:rPr>
      </w:pPr>
      <w:r w:rsidRPr="00E65B99">
        <w:rPr>
          <w:b/>
          <w:sz w:val="24"/>
          <w:szCs w:val="24"/>
        </w:rPr>
        <w:lastRenderedPageBreak/>
        <w:t xml:space="preserve">Ethics clauses and code of conduct </w:t>
      </w:r>
    </w:p>
    <w:p w14:paraId="4909DB57" w14:textId="77777777" w:rsidR="00E65B99" w:rsidRPr="00695F78" w:rsidRDefault="00E65B99" w:rsidP="00E65B99">
      <w:pPr>
        <w:spacing w:before="120" w:after="120"/>
        <w:ind w:left="567" w:hanging="567"/>
        <w:jc w:val="both"/>
        <w:rPr>
          <w:sz w:val="22"/>
          <w:szCs w:val="22"/>
          <w:u w:val="single"/>
        </w:rPr>
      </w:pPr>
      <w:r w:rsidRPr="002B370E">
        <w:rPr>
          <w:sz w:val="22"/>
          <w:szCs w:val="22"/>
        </w:rPr>
        <w:t>a)</w:t>
      </w:r>
      <w:r w:rsidRPr="002B370E">
        <w:rPr>
          <w:sz w:val="22"/>
          <w:szCs w:val="22"/>
        </w:rPr>
        <w:tab/>
      </w:r>
      <w:r w:rsidRPr="00695F78">
        <w:rPr>
          <w:sz w:val="22"/>
          <w:szCs w:val="22"/>
          <w:u w:val="single"/>
        </w:rPr>
        <w:t>Absence of conflict of interest</w:t>
      </w:r>
    </w:p>
    <w:p w14:paraId="1A3064E3" w14:textId="77777777" w:rsidR="00E65B99" w:rsidRDefault="00E65B99" w:rsidP="00E65B99">
      <w:pPr>
        <w:spacing w:before="120" w:after="120"/>
        <w:ind w:left="567" w:hanging="567"/>
        <w:jc w:val="both"/>
        <w:rPr>
          <w:sz w:val="22"/>
          <w:szCs w:val="22"/>
        </w:rPr>
      </w:pPr>
      <w:r>
        <w:rPr>
          <w:sz w:val="22"/>
          <w:szCs w:val="22"/>
        </w:rPr>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4D9B087E" w14:textId="77777777" w:rsidR="00E65B99" w:rsidRDefault="00E65B99" w:rsidP="00E65B99">
      <w:pPr>
        <w:spacing w:before="120" w:after="120"/>
        <w:ind w:left="567" w:hanging="567"/>
        <w:jc w:val="both"/>
        <w:rPr>
          <w:sz w:val="22"/>
          <w:szCs w:val="22"/>
          <w:u w:val="single"/>
        </w:rPr>
      </w:pPr>
      <w:r w:rsidRPr="002B370E">
        <w:rPr>
          <w:sz w:val="22"/>
          <w:szCs w:val="22"/>
        </w:rPr>
        <w:t>b)</w:t>
      </w:r>
      <w:r w:rsidRPr="002B370E">
        <w:rPr>
          <w:sz w:val="22"/>
          <w:szCs w:val="22"/>
        </w:rPr>
        <w:tab/>
      </w:r>
      <w:r w:rsidRPr="00695F78">
        <w:rPr>
          <w:sz w:val="22"/>
          <w:szCs w:val="22"/>
          <w:u w:val="single"/>
        </w:rPr>
        <w:t>Respect for human rights as well as environmental legislation and core labour standards</w:t>
      </w:r>
    </w:p>
    <w:p w14:paraId="4FA1B42C" w14:textId="77777777" w:rsidR="00E65B99" w:rsidRDefault="00E65B99" w:rsidP="00E65B99">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989D321" w14:textId="77777777" w:rsidR="00E65B99" w:rsidRPr="00695F78"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Zero tolerance for sexual exploitation and sexual abuse:</w:t>
      </w:r>
    </w:p>
    <w:p w14:paraId="077555FC" w14:textId="77777777" w:rsidR="00E65B99" w:rsidRPr="003C457E"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3B70527B" w14:textId="77777777" w:rsidR="00E65B99"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Physical abuse or punishment, or threats of physical abuse, sexual abuse or exploitation, harassment and verbal abuse, as well as other forms of intimidation shall be prohibited.</w:t>
      </w:r>
    </w:p>
    <w:p w14:paraId="5F18F96C" w14:textId="77777777" w:rsidR="00E65B99" w:rsidRDefault="00E65B99" w:rsidP="00E65B99">
      <w:pPr>
        <w:spacing w:before="120" w:after="120"/>
        <w:ind w:left="567" w:hanging="567"/>
        <w:jc w:val="both"/>
        <w:rPr>
          <w:sz w:val="22"/>
          <w:szCs w:val="22"/>
        </w:rPr>
      </w:pPr>
      <w:r w:rsidRPr="002B370E" w:rsidDel="003C457E">
        <w:rPr>
          <w:sz w:val="22"/>
          <w:szCs w:val="22"/>
        </w:rPr>
        <w:t xml:space="preserve"> </w:t>
      </w:r>
      <w:r w:rsidRPr="002B370E">
        <w:rPr>
          <w:sz w:val="22"/>
          <w:szCs w:val="22"/>
        </w:rPr>
        <w:t>c)</w:t>
      </w:r>
      <w:r w:rsidRPr="002B370E">
        <w:rPr>
          <w:sz w:val="22"/>
          <w:szCs w:val="22"/>
        </w:rPr>
        <w:tab/>
      </w:r>
      <w:r w:rsidRPr="00695F78">
        <w:rPr>
          <w:sz w:val="22"/>
          <w:szCs w:val="22"/>
          <w:u w:val="single"/>
        </w:rPr>
        <w:t>Anti-corruption and anti-bribery</w:t>
      </w:r>
      <w:r w:rsidRPr="004968C0">
        <w:rPr>
          <w:sz w:val="22"/>
          <w:szCs w:val="22"/>
        </w:rPr>
        <w:t xml:space="preserve"> </w:t>
      </w:r>
    </w:p>
    <w:p w14:paraId="5C257BAD" w14:textId="77777777" w:rsidR="00E65B99" w:rsidRPr="002B370E" w:rsidRDefault="00E65B99" w:rsidP="00E65B99">
      <w:pPr>
        <w:spacing w:before="120" w:after="120"/>
        <w:ind w:left="567" w:hanging="567"/>
        <w:jc w:val="both"/>
        <w:rPr>
          <w:sz w:val="22"/>
          <w:szCs w:val="22"/>
        </w:rPr>
      </w:pPr>
      <w:r>
        <w:rPr>
          <w:sz w:val="22"/>
          <w:szCs w:val="22"/>
        </w:rPr>
        <w:t xml:space="preserve">          </w:t>
      </w: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50674B7" w14:textId="77777777" w:rsidR="00E65B99" w:rsidRDefault="00E65B99" w:rsidP="00E65B99">
      <w:pPr>
        <w:spacing w:before="120" w:after="120"/>
        <w:ind w:left="567" w:hanging="567"/>
        <w:jc w:val="both"/>
        <w:rPr>
          <w:sz w:val="22"/>
          <w:szCs w:val="22"/>
        </w:rPr>
      </w:pPr>
      <w:r w:rsidRPr="002B370E">
        <w:rPr>
          <w:sz w:val="22"/>
          <w:szCs w:val="22"/>
        </w:rPr>
        <w:t>d)</w:t>
      </w:r>
      <w:r w:rsidRPr="002B370E">
        <w:rPr>
          <w:sz w:val="22"/>
          <w:szCs w:val="22"/>
        </w:rPr>
        <w:tab/>
      </w:r>
      <w:r w:rsidRPr="00695F78">
        <w:rPr>
          <w:sz w:val="22"/>
          <w:szCs w:val="22"/>
          <w:u w:val="single"/>
        </w:rPr>
        <w:t>Unusual commercial expenses</w:t>
      </w:r>
      <w:r w:rsidRPr="004968C0">
        <w:rPr>
          <w:sz w:val="22"/>
          <w:szCs w:val="22"/>
        </w:rPr>
        <w:t xml:space="preserve"> </w:t>
      </w:r>
    </w:p>
    <w:p w14:paraId="03B8544B" w14:textId="77777777" w:rsidR="00E65B99" w:rsidRPr="004968C0" w:rsidRDefault="00E65B99" w:rsidP="00E65B99">
      <w:pPr>
        <w:spacing w:before="120" w:after="120"/>
        <w:ind w:left="567" w:hanging="567"/>
        <w:jc w:val="both"/>
        <w:rPr>
          <w:sz w:val="22"/>
          <w:szCs w:val="22"/>
        </w:rPr>
      </w:pPr>
      <w:r>
        <w:rPr>
          <w:sz w:val="22"/>
          <w:szCs w:val="22"/>
        </w:rPr>
        <w:t xml:space="preserve">          </w:t>
      </w: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186837B" w14:textId="77777777" w:rsidR="00E65B99" w:rsidRPr="002B370E" w:rsidRDefault="00E65B99" w:rsidP="00E65B99">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306EF567" w14:textId="77777777" w:rsidR="00E65B99" w:rsidRDefault="00E65B99" w:rsidP="00E65B99">
      <w:pPr>
        <w:spacing w:before="120" w:after="120"/>
        <w:ind w:left="567" w:hanging="567"/>
        <w:jc w:val="both"/>
        <w:rPr>
          <w:sz w:val="22"/>
          <w:szCs w:val="22"/>
          <w:u w:val="single"/>
        </w:rPr>
      </w:pPr>
      <w:r w:rsidRPr="002B370E">
        <w:rPr>
          <w:sz w:val="22"/>
          <w:szCs w:val="22"/>
        </w:rPr>
        <w:t>e)</w:t>
      </w:r>
      <w:r w:rsidRPr="002B370E">
        <w:rPr>
          <w:sz w:val="22"/>
          <w:szCs w:val="22"/>
        </w:rPr>
        <w:tab/>
      </w:r>
      <w:r w:rsidRPr="00695F78">
        <w:rPr>
          <w:sz w:val="22"/>
          <w:szCs w:val="22"/>
          <w:u w:val="single"/>
        </w:rPr>
        <w:t>Breach of obligations, irregularities or fraud</w:t>
      </w:r>
    </w:p>
    <w:p w14:paraId="2BC94397" w14:textId="77777777" w:rsidR="00E65B99" w:rsidRDefault="00E65B99" w:rsidP="00E65B99">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Pr>
          <w:sz w:val="22"/>
          <w:szCs w:val="22"/>
        </w:rPr>
        <w:t>en subject to breach of obligations</w:t>
      </w:r>
      <w:r w:rsidRPr="004968C0">
        <w:rPr>
          <w:sz w:val="22"/>
          <w:szCs w:val="22"/>
        </w:rPr>
        <w:t>, irregularities</w:t>
      </w:r>
      <w:r>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Pr>
          <w:sz w:val="22"/>
          <w:szCs w:val="22"/>
        </w:rPr>
        <w:t xml:space="preserve"> </w:t>
      </w:r>
    </w:p>
    <w:p w14:paraId="018AF010" w14:textId="77777777" w:rsidR="00B95A86" w:rsidRDefault="00E65B99">
      <w:pPr>
        <w:keepNext/>
        <w:numPr>
          <w:ilvl w:val="0"/>
          <w:numId w:val="8"/>
        </w:numPr>
        <w:spacing w:before="120" w:after="120"/>
        <w:jc w:val="both"/>
        <w:rPr>
          <w:sz w:val="24"/>
          <w:szCs w:val="24"/>
        </w:rPr>
      </w:pPr>
      <w:r>
        <w:rPr>
          <w:b/>
          <w:sz w:val="24"/>
          <w:szCs w:val="24"/>
        </w:rPr>
        <w:lastRenderedPageBreak/>
        <w:t>Signature of contract(s)</w:t>
      </w:r>
    </w:p>
    <w:p w14:paraId="018AF011" w14:textId="77777777" w:rsidR="00B95A86" w:rsidRDefault="00E65B99">
      <w:pPr>
        <w:keepNext/>
        <w:spacing w:before="120" w:after="120"/>
        <w:ind w:left="567" w:hanging="567"/>
        <w:jc w:val="both"/>
        <w:rPr>
          <w:sz w:val="22"/>
          <w:szCs w:val="22"/>
        </w:rPr>
      </w:pPr>
      <w:r>
        <w:rPr>
          <w:b/>
          <w:sz w:val="22"/>
          <w:szCs w:val="22"/>
        </w:rPr>
        <w:t>14.1.</w:t>
      </w:r>
      <w:r>
        <w:rPr>
          <w:b/>
          <w:sz w:val="22"/>
          <w:szCs w:val="22"/>
        </w:rPr>
        <w:tab/>
        <w:t>Notification of award</w:t>
      </w:r>
    </w:p>
    <w:p w14:paraId="018AF01A" w14:textId="1409A0AB" w:rsidR="00B95A86" w:rsidRDefault="00E65B99" w:rsidP="00383D1A">
      <w:pPr>
        <w:keepNext/>
        <w:spacing w:before="120" w:after="120"/>
        <w:jc w:val="both"/>
        <w:rPr>
          <w:sz w:val="22"/>
          <w:szCs w:val="22"/>
        </w:rPr>
      </w:pPr>
      <w:r>
        <w:rPr>
          <w:sz w:val="22"/>
          <w:szCs w:val="22"/>
        </w:rPr>
        <w:t xml:space="preserve">The successful tenderer will be informed in writing that its tender has been accepted.      </w:t>
      </w:r>
    </w:p>
    <w:p w14:paraId="018AF01B" w14:textId="77777777" w:rsidR="00B95A86" w:rsidRDefault="00E65B99">
      <w:pPr>
        <w:keepNext/>
        <w:spacing w:before="120" w:after="120"/>
        <w:ind w:left="567" w:hanging="567"/>
        <w:jc w:val="both"/>
        <w:rPr>
          <w:sz w:val="22"/>
          <w:szCs w:val="22"/>
          <w:u w:val="single"/>
        </w:rPr>
      </w:pPr>
      <w:r>
        <w:rPr>
          <w:b/>
          <w:sz w:val="22"/>
          <w:szCs w:val="22"/>
        </w:rPr>
        <w:t>14.2.</w:t>
      </w:r>
      <w:r>
        <w:rPr>
          <w:b/>
          <w:sz w:val="22"/>
          <w:szCs w:val="22"/>
        </w:rPr>
        <w:tab/>
        <w:t>Signature of the contract(s)</w:t>
      </w:r>
    </w:p>
    <w:p w14:paraId="018AF01C"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Within 30 days of receipt of the contract already signed by the Contracting Authority, the selected tenderer shall sign and date the contract and return it to the Contracting Authority.</w:t>
      </w:r>
    </w:p>
    <w:p w14:paraId="018AF01D" w14:textId="77777777" w:rsidR="00B95A86" w:rsidRDefault="00B95A86"/>
    <w:tbl>
      <w:tblPr>
        <w:tblStyle w:val="a7"/>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06"/>
      </w:tblGrid>
      <w:tr w:rsidR="00B95A86" w14:paraId="018AF01F" w14:textId="77777777" w:rsidTr="004627BD">
        <w:tc>
          <w:tcPr>
            <w:tcW w:w="8306" w:type="dxa"/>
          </w:tcPr>
          <w:p w14:paraId="018AF01E" w14:textId="77777777" w:rsidR="00B95A86" w:rsidRDefault="00E65B99">
            <w:pPr>
              <w:rPr>
                <w:sz w:val="22"/>
                <w:szCs w:val="22"/>
              </w:rPr>
            </w:pPr>
            <w:r>
              <w:rPr>
                <w:sz w:val="22"/>
                <w:szCs w:val="22"/>
                <w:highlight w:val="yellow"/>
              </w:rPr>
              <w:t>Deadline of 30 days may be shortened, but only in case it does not have effect on the level of competition.</w:t>
            </w:r>
          </w:p>
        </w:tc>
      </w:tr>
    </w:tbl>
    <w:p w14:paraId="018AF022" w14:textId="4A97DC13"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 xml:space="preserve">Failure of the selected tenderer to comply with this requirement may constitute grounds for annulling the decision to award the contract. In this event, the Contracting Authority may award the tender to another tenderer. </w:t>
      </w:r>
    </w:p>
    <w:p w14:paraId="018AF024" w14:textId="52A5C131" w:rsidR="00B95A86" w:rsidRPr="0084576D" w:rsidRDefault="00E65B99" w:rsidP="0084576D">
      <w:pPr>
        <w:tabs>
          <w:tab w:val="left" w:pos="0"/>
          <w:tab w:val="left" w:pos="630"/>
        </w:tabs>
        <w:spacing w:before="120" w:after="120"/>
        <w:jc w:val="both"/>
        <w:rPr>
          <w:sz w:val="22"/>
          <w:szCs w:val="22"/>
        </w:rPr>
      </w:pPr>
      <w:r>
        <w:rPr>
          <w:sz w:val="22"/>
          <w:szCs w:val="22"/>
        </w:rPr>
        <w:t xml:space="preserve">The other tenderers will, at the same time, be informed that their tenders were not retained, by electronic means or standard letter, including an indication of the relative weaknesses of their tender by way of a comparative table of the scores for the winning tender and the unsuccessful tender. </w:t>
      </w:r>
    </w:p>
    <w:p w14:paraId="018AF025" w14:textId="716311BE"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bookmarkStart w:id="5" w:name="_2et92p0" w:colFirst="0" w:colLast="0"/>
      <w:bookmarkEnd w:id="5"/>
      <w:r>
        <w:rPr>
          <w:color w:val="000000"/>
          <w:sz w:val="22"/>
          <w:szCs w:val="22"/>
        </w:rPr>
        <w:t xml:space="preserve">The corresponding contract award notice will be published at the same place as the initial publications. </w:t>
      </w:r>
    </w:p>
    <w:p w14:paraId="018AF026" w14:textId="77777777" w:rsidR="00B95A86" w:rsidRDefault="00E65B99">
      <w:pPr>
        <w:keepNext/>
        <w:numPr>
          <w:ilvl w:val="0"/>
          <w:numId w:val="8"/>
        </w:numPr>
        <w:spacing w:before="120" w:after="120"/>
        <w:jc w:val="both"/>
        <w:rPr>
          <w:sz w:val="24"/>
          <w:szCs w:val="24"/>
        </w:rPr>
      </w:pPr>
      <w:r>
        <w:rPr>
          <w:b/>
          <w:sz w:val="24"/>
          <w:szCs w:val="24"/>
        </w:rPr>
        <w:t>Cancellation of the tender procedure</w:t>
      </w:r>
    </w:p>
    <w:p w14:paraId="018AF027"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14:paraId="018AF028"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Cancellation may occur, for example, where:</w:t>
      </w:r>
    </w:p>
    <w:p w14:paraId="018AF029"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tender procedure has been unsuccessful, i.e., no suitable, qualitatively or financially acceptable tender has been received or there is no valid response at all;</w:t>
      </w:r>
    </w:p>
    <w:p w14:paraId="018AF02A"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are fundamental changes to the economic or technical data of the project;</w:t>
      </w:r>
    </w:p>
    <w:p w14:paraId="018AF02B"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exceptional circumstances or force majeure render normal performance of the contract impossible;</w:t>
      </w:r>
    </w:p>
    <w:p w14:paraId="018AF02C"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all technically acceptable tenders exceed the financial resources available;</w:t>
      </w:r>
    </w:p>
    <w:p w14:paraId="018AF02D"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have been substantial errors, irregularities or frauds in the procedure, in particular if they have prevented fair competition;</w:t>
      </w:r>
    </w:p>
    <w:p w14:paraId="018AF02E"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18AF02F"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018AF030" w14:textId="77777777" w:rsidR="00B95A86" w:rsidRDefault="00E65B99">
      <w:pPr>
        <w:keepNext/>
        <w:keepLines/>
        <w:numPr>
          <w:ilvl w:val="0"/>
          <w:numId w:val="8"/>
        </w:numPr>
        <w:spacing w:before="120" w:after="120"/>
        <w:jc w:val="both"/>
        <w:rPr>
          <w:sz w:val="24"/>
          <w:szCs w:val="24"/>
        </w:rPr>
      </w:pPr>
      <w:r>
        <w:rPr>
          <w:b/>
          <w:sz w:val="24"/>
          <w:szCs w:val="24"/>
        </w:rPr>
        <w:lastRenderedPageBreak/>
        <w:t>Appeals</w:t>
      </w:r>
    </w:p>
    <w:p w14:paraId="018AF031" w14:textId="766BE195" w:rsidR="00B95A86" w:rsidRDefault="00E65B99">
      <w:pPr>
        <w:keepNext/>
        <w:keepLines/>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Tenderers believing that they have been harmed by an error or irregularity during the award process may file a complaint. See section 2.12. of the Practical Guide.</w:t>
      </w:r>
    </w:p>
    <w:p w14:paraId="018AF032" w14:textId="77D12F14" w:rsidR="00B95A86" w:rsidRDefault="00B95A86">
      <w:pPr>
        <w:pBdr>
          <w:top w:val="nil"/>
          <w:left w:val="nil"/>
          <w:bottom w:val="nil"/>
          <w:right w:val="nil"/>
          <w:between w:val="nil"/>
        </w:pBdr>
        <w:tabs>
          <w:tab w:val="left" w:pos="0"/>
          <w:tab w:val="left" w:pos="630"/>
        </w:tabs>
        <w:spacing w:before="120" w:after="120"/>
        <w:jc w:val="both"/>
        <w:rPr>
          <w:color w:val="000000"/>
          <w:sz w:val="22"/>
          <w:szCs w:val="22"/>
          <w:highlight w:val="yellow"/>
        </w:rPr>
      </w:pPr>
    </w:p>
    <w:p w14:paraId="018AF033" w14:textId="5FBCF0B7" w:rsidR="00B95A86" w:rsidRDefault="00B95A86">
      <w:pPr>
        <w:keepNext/>
        <w:spacing w:before="120" w:after="120"/>
        <w:jc w:val="both"/>
        <w:rPr>
          <w:sz w:val="24"/>
          <w:szCs w:val="24"/>
          <w:highlight w:val="lightGray"/>
        </w:rPr>
      </w:pPr>
    </w:p>
    <w:p w14:paraId="018AF034" w14:textId="71EAD501" w:rsidR="00B95A86" w:rsidRDefault="00B95A86">
      <w:pPr>
        <w:pBdr>
          <w:top w:val="nil"/>
          <w:left w:val="nil"/>
          <w:bottom w:val="nil"/>
          <w:right w:val="nil"/>
          <w:between w:val="nil"/>
        </w:pBdr>
        <w:ind w:left="567"/>
        <w:jc w:val="both"/>
        <w:rPr>
          <w:color w:val="000000"/>
          <w:sz w:val="22"/>
          <w:szCs w:val="22"/>
          <w:highlight w:val="lightGray"/>
        </w:rPr>
      </w:pPr>
    </w:p>
    <w:p w14:paraId="018AF035" w14:textId="44206A72" w:rsidR="00B95A86" w:rsidRDefault="00B95A86">
      <w:pPr>
        <w:pBdr>
          <w:top w:val="nil"/>
          <w:left w:val="nil"/>
          <w:bottom w:val="nil"/>
          <w:right w:val="nil"/>
          <w:between w:val="nil"/>
        </w:pBdr>
        <w:tabs>
          <w:tab w:val="left" w:pos="0"/>
          <w:tab w:val="left" w:pos="630"/>
        </w:tabs>
        <w:spacing w:before="120" w:after="120"/>
        <w:ind w:firstLine="567"/>
        <w:rPr>
          <w:color w:val="000000"/>
          <w:sz w:val="22"/>
          <w:szCs w:val="22"/>
          <w:highlight w:val="lightGray"/>
        </w:rPr>
      </w:pPr>
    </w:p>
    <w:p w14:paraId="018AF036" w14:textId="1D223D1E" w:rsidR="00B95A86" w:rsidRDefault="00B95A86">
      <w:pPr>
        <w:pBdr>
          <w:top w:val="nil"/>
          <w:left w:val="nil"/>
          <w:bottom w:val="nil"/>
          <w:right w:val="nil"/>
          <w:between w:val="nil"/>
        </w:pBdr>
        <w:tabs>
          <w:tab w:val="left" w:pos="0"/>
          <w:tab w:val="left" w:pos="630"/>
        </w:tabs>
        <w:spacing w:before="120" w:after="120"/>
        <w:jc w:val="both"/>
        <w:rPr>
          <w:color w:val="000000"/>
          <w:sz w:val="22"/>
          <w:szCs w:val="22"/>
        </w:rPr>
      </w:pPr>
    </w:p>
    <w:p w14:paraId="018AF037" w14:textId="7D0A09D1" w:rsidR="00B95A86" w:rsidRDefault="00B95A86">
      <w:pPr>
        <w:tabs>
          <w:tab w:val="left" w:pos="0"/>
          <w:tab w:val="left" w:pos="630"/>
        </w:tabs>
        <w:spacing w:before="120" w:after="120"/>
        <w:jc w:val="both"/>
        <w:rPr>
          <w:sz w:val="22"/>
          <w:szCs w:val="22"/>
        </w:rPr>
      </w:pPr>
    </w:p>
    <w:p w14:paraId="018AF038" w14:textId="0527A2D2" w:rsidR="00B95A86" w:rsidRDefault="00B95A86">
      <w:pPr>
        <w:pBdr>
          <w:top w:val="nil"/>
          <w:left w:val="nil"/>
          <w:bottom w:val="nil"/>
          <w:right w:val="nil"/>
          <w:between w:val="nil"/>
        </w:pBdr>
        <w:tabs>
          <w:tab w:val="left" w:pos="0"/>
          <w:tab w:val="left" w:pos="630"/>
        </w:tabs>
        <w:spacing w:after="240"/>
        <w:jc w:val="both"/>
        <w:rPr>
          <w:color w:val="000000"/>
          <w:sz w:val="22"/>
          <w:szCs w:val="22"/>
        </w:rPr>
      </w:pPr>
    </w:p>
    <w:p w14:paraId="018AF039" w14:textId="6AFF40C4" w:rsidR="00B95A86" w:rsidRDefault="00B95A86">
      <w:pPr>
        <w:keepNext/>
        <w:spacing w:before="240" w:after="240"/>
        <w:jc w:val="both"/>
        <w:rPr>
          <w:sz w:val="22"/>
          <w:szCs w:val="22"/>
          <w:highlight w:val="lightGray"/>
        </w:rPr>
      </w:pPr>
    </w:p>
    <w:p w14:paraId="018AF03A" w14:textId="0FF4E26D" w:rsidR="00B95A86" w:rsidRDefault="00B95A86">
      <w:pPr>
        <w:spacing w:after="60"/>
        <w:jc w:val="both"/>
        <w:rPr>
          <w:sz w:val="22"/>
          <w:szCs w:val="22"/>
        </w:rPr>
      </w:pPr>
      <w:bookmarkStart w:id="6" w:name="_tyjcwt" w:colFirst="0" w:colLast="0"/>
      <w:bookmarkEnd w:id="6"/>
    </w:p>
    <w:p w14:paraId="018AF03B" w14:textId="77777777" w:rsidR="00B95A86" w:rsidRDefault="00B95A86">
      <w:pPr>
        <w:pBdr>
          <w:top w:val="nil"/>
          <w:left w:val="nil"/>
          <w:bottom w:val="nil"/>
          <w:right w:val="nil"/>
          <w:between w:val="nil"/>
        </w:pBdr>
        <w:tabs>
          <w:tab w:val="left" w:pos="0"/>
          <w:tab w:val="left" w:pos="630"/>
        </w:tabs>
        <w:spacing w:before="120" w:after="120"/>
        <w:jc w:val="both"/>
        <w:rPr>
          <w:color w:val="000000"/>
          <w:sz w:val="22"/>
          <w:szCs w:val="22"/>
        </w:rPr>
      </w:pPr>
    </w:p>
    <w:sectPr w:rsidR="00B95A86">
      <w:footerReference w:type="even" r:id="rId9"/>
      <w:footerReference w:type="default" r:id="rId10"/>
      <w:headerReference w:type="first" r:id="rId11"/>
      <w:footerReference w:type="first" r:id="rId12"/>
      <w:pgSz w:w="11906" w:h="16838"/>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683756" w14:textId="77777777" w:rsidR="0018349E" w:rsidRDefault="0018349E">
      <w:r>
        <w:separator/>
      </w:r>
    </w:p>
  </w:endnote>
  <w:endnote w:type="continuationSeparator" w:id="0">
    <w:p w14:paraId="72D81DFC" w14:textId="77777777" w:rsidR="0018349E" w:rsidRDefault="00183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AF040" w14:textId="24CEE644" w:rsidR="00B95A86" w:rsidRDefault="00E65B99">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separate"/>
    </w:r>
    <w:r w:rsidR="008772D6">
      <w:rPr>
        <w:noProof/>
        <w:color w:val="000000"/>
      </w:rPr>
      <w:t>2</w:t>
    </w:r>
    <w:r>
      <w:rPr>
        <w:color w:val="000000"/>
      </w:rPr>
      <w:fldChar w:fldCharType="end"/>
    </w:r>
  </w:p>
  <w:p w14:paraId="018AF041" w14:textId="77777777" w:rsidR="00B95A86" w:rsidRDefault="00B95A86">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AF042" w14:textId="5EB633A8" w:rsidR="00B95A86" w:rsidRDefault="00E65B99">
    <w:pPr>
      <w:pBdr>
        <w:top w:val="nil"/>
        <w:left w:val="nil"/>
        <w:bottom w:val="nil"/>
        <w:right w:val="nil"/>
        <w:between w:val="nil"/>
      </w:pBdr>
      <w:tabs>
        <w:tab w:val="right" w:pos="8080"/>
      </w:tabs>
      <w:rPr>
        <w:color w:val="000000"/>
      </w:rPr>
    </w:pPr>
    <w:r>
      <w:rPr>
        <w:rFonts w:ascii="Arial" w:eastAsia="Arial" w:hAnsi="Arial" w:cs="Arial"/>
        <w:color w:val="000000"/>
      </w:rPr>
      <w:tab/>
    </w:r>
    <w:r>
      <w:rPr>
        <w:color w:val="000000"/>
      </w:rPr>
      <w:t xml:space="preserve">Page </w:t>
    </w:r>
    <w:r>
      <w:rPr>
        <w:color w:val="000000"/>
      </w:rPr>
      <w:fldChar w:fldCharType="begin"/>
    </w:r>
    <w:r>
      <w:rPr>
        <w:color w:val="000000"/>
      </w:rPr>
      <w:instrText>PAGE</w:instrText>
    </w:r>
    <w:r>
      <w:rPr>
        <w:color w:val="000000"/>
      </w:rPr>
      <w:fldChar w:fldCharType="separate"/>
    </w:r>
    <w:r w:rsidR="00A339F2">
      <w:rPr>
        <w:noProof/>
        <w:color w:val="000000"/>
      </w:rPr>
      <w:t>11</w:t>
    </w:r>
    <w:r>
      <w:rPr>
        <w:color w:val="000000"/>
      </w:rPr>
      <w:fldChar w:fldCharType="end"/>
    </w:r>
    <w:r>
      <w:rPr>
        <w:color w:val="000000"/>
      </w:rPr>
      <w:t xml:space="preserve"> of </w:t>
    </w:r>
    <w:r>
      <w:rPr>
        <w:color w:val="000000"/>
      </w:rPr>
      <w:fldChar w:fldCharType="begin"/>
    </w:r>
    <w:r>
      <w:rPr>
        <w:color w:val="000000"/>
      </w:rPr>
      <w:instrText>NUMPAGES</w:instrText>
    </w:r>
    <w:r>
      <w:rPr>
        <w:color w:val="000000"/>
      </w:rPr>
      <w:fldChar w:fldCharType="separate"/>
    </w:r>
    <w:r w:rsidR="00A339F2">
      <w:rPr>
        <w:noProof/>
        <w:color w:val="000000"/>
      </w:rPr>
      <w:t>11</w:t>
    </w:r>
    <w:r>
      <w:rPr>
        <w:color w:val="000000"/>
      </w:rPr>
      <w:fldChar w:fldCharType="end"/>
    </w:r>
  </w:p>
  <w:p w14:paraId="018AF043" w14:textId="7F3DBD45" w:rsidR="00B95A86" w:rsidRDefault="00B95A86">
    <w:pPr>
      <w:pBdr>
        <w:top w:val="nil"/>
        <w:left w:val="nil"/>
        <w:bottom w:val="nil"/>
        <w:right w:val="nil"/>
        <w:between w:val="nil"/>
      </w:pBdr>
      <w:tabs>
        <w:tab w:val="right" w:pos="8080"/>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AF045" w14:textId="77145D47" w:rsidR="00B95A86" w:rsidRDefault="00E65B99">
    <w:pPr>
      <w:pBdr>
        <w:top w:val="nil"/>
        <w:left w:val="nil"/>
        <w:bottom w:val="nil"/>
        <w:right w:val="nil"/>
        <w:between w:val="nil"/>
      </w:pBdr>
      <w:tabs>
        <w:tab w:val="right" w:pos="8080"/>
      </w:tabs>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A339F2">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A339F2">
      <w:rPr>
        <w:noProof/>
        <w:color w:val="000000"/>
        <w:sz w:val="18"/>
        <w:szCs w:val="18"/>
      </w:rPr>
      <w:t>11</w:t>
    </w:r>
    <w:r>
      <w:rPr>
        <w:color w:val="000000"/>
        <w:sz w:val="18"/>
        <w:szCs w:val="18"/>
      </w:rPr>
      <w:fldChar w:fldCharType="end"/>
    </w:r>
  </w:p>
  <w:p w14:paraId="018AF046" w14:textId="70DB112D" w:rsidR="00B95A86" w:rsidRDefault="00B95A86">
    <w:pPr>
      <w:pBdr>
        <w:top w:val="nil"/>
        <w:left w:val="nil"/>
        <w:bottom w:val="nil"/>
        <w:right w:val="nil"/>
        <w:between w:val="nil"/>
      </w:pBdr>
      <w:tabs>
        <w:tab w:val="right" w:pos="8080"/>
      </w:tabs>
      <w:rPr>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FAF64A" w14:textId="77777777" w:rsidR="0018349E" w:rsidRDefault="0018349E">
      <w:r>
        <w:separator/>
      </w:r>
    </w:p>
  </w:footnote>
  <w:footnote w:type="continuationSeparator" w:id="0">
    <w:p w14:paraId="30D084A1" w14:textId="77777777" w:rsidR="0018349E" w:rsidRDefault="0018349E">
      <w:r>
        <w:continuationSeparator/>
      </w:r>
    </w:p>
  </w:footnote>
  <w:footnote w:id="1">
    <w:p w14:paraId="018AF04B" w14:textId="6D34FE97" w:rsidR="00B95A86" w:rsidRDefault="00E65B99">
      <w:pPr>
        <w:pBdr>
          <w:top w:val="nil"/>
          <w:left w:val="nil"/>
          <w:bottom w:val="nil"/>
          <w:right w:val="nil"/>
          <w:between w:val="nil"/>
        </w:pBdr>
        <w:spacing w:before="100" w:after="100"/>
        <w:jc w:val="both"/>
        <w:rPr>
          <w:color w:val="000000"/>
          <w:sz w:val="24"/>
          <w:szCs w:val="24"/>
        </w:rPr>
      </w:pPr>
      <w:r>
        <w:rPr>
          <w:vertAlign w:val="superscript"/>
        </w:rPr>
        <w:footnoteRef/>
      </w:r>
      <w:r>
        <w:rPr>
          <w:color w:val="000000"/>
          <w:sz w:val="18"/>
          <w:szCs w:val="18"/>
        </w:rPr>
        <w:t xml:space="preserve"> </w:t>
      </w:r>
      <w:r>
        <w:rPr>
          <w:b/>
          <w:color w:val="000000"/>
          <w:sz w:val="18"/>
          <w:szCs w:val="18"/>
        </w:rPr>
        <w:t>DIRECTIVE 2014/24/EU OF THE EUROPEAN PARLIAMENT AND OF THE COUNCIL of 26 February 2014</w:t>
      </w:r>
      <w:r w:rsidR="004F21E6">
        <w:rPr>
          <w:b/>
          <w:color w:val="000000"/>
          <w:sz w:val="18"/>
          <w:szCs w:val="18"/>
        </w:rPr>
        <w:t xml:space="preserve"> </w:t>
      </w:r>
      <w:r>
        <w:rPr>
          <w:b/>
          <w:color w:val="000000"/>
          <w:sz w:val="18"/>
          <w:szCs w:val="18"/>
        </w:rPr>
        <w:t xml:space="preserve">on public procurement and repealing Directive 2004/18/EC, </w:t>
      </w:r>
      <w:hyperlink r:id="rId1" w:history="1">
        <w:r>
          <w:rPr>
            <w:color w:val="0000FF"/>
            <w:sz w:val="18"/>
            <w:szCs w:val="18"/>
            <w:u w:val="single"/>
          </w:rPr>
          <w:t>http://eur-lex.europa.eu/legal-content/EN/TXT/HTML/?uri=CELEX:32014L0024&amp;from=HR</w:t>
        </w:r>
      </w:hyperlink>
      <w:r>
        <w:rPr>
          <w:color w:val="000000"/>
          <w:sz w:val="18"/>
          <w:szCs w:val="18"/>
        </w:rPr>
        <w:t xml:space="preserve"> </w:t>
      </w:r>
      <w:r>
        <w:rPr>
          <w:color w:val="000000"/>
          <w:sz w:val="24"/>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8ECD6" w14:textId="225CBE30" w:rsidR="00B94C14" w:rsidRDefault="008772D6" w:rsidP="00B94C14">
    <w:pPr>
      <w:rPr>
        <w:b/>
        <w:bCs/>
      </w:rPr>
    </w:pPr>
    <w:r>
      <w:rPr>
        <w:noProof/>
        <w:lang w:val="en-US"/>
      </w:rPr>
      <w:drawing>
        <wp:inline distT="0" distB="0" distL="0" distR="0" wp14:anchorId="5AF8F69A" wp14:editId="1C195082">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018AF044" w14:textId="2E64DC2F" w:rsidR="00B95A86" w:rsidRDefault="00B95A86" w:rsidP="004F21E6">
    <w:pPr>
      <w:pBdr>
        <w:top w:val="nil"/>
        <w:left w:val="nil"/>
        <w:bottom w:val="nil"/>
        <w:right w:val="nil"/>
        <w:between w:val="nil"/>
      </w:pBdr>
      <w:tabs>
        <w:tab w:val="center" w:pos="4320"/>
        <w:tab w:val="right" w:pos="8640"/>
      </w:tabs>
      <w:rPr>
        <w:color w:val="000000"/>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02010"/>
    <w:multiLevelType w:val="multilevel"/>
    <w:tmpl w:val="7C648302"/>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6C86126"/>
    <w:multiLevelType w:val="multilevel"/>
    <w:tmpl w:val="61487D0C"/>
    <w:lvl w:ilvl="0">
      <w:start w:val="1"/>
      <w:numFmt w:val="lowerLetter"/>
      <w:lvlText w:val="%1)"/>
      <w:lvlJc w:val="left"/>
      <w:pPr>
        <w:ind w:left="861" w:hanging="435"/>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A2F2C59"/>
    <w:multiLevelType w:val="multilevel"/>
    <w:tmpl w:val="1B3AEAB6"/>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14F1616"/>
    <w:multiLevelType w:val="multilevel"/>
    <w:tmpl w:val="0388CEE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E117D3A"/>
    <w:multiLevelType w:val="multilevel"/>
    <w:tmpl w:val="F2788A86"/>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49FD377D"/>
    <w:multiLevelType w:val="multilevel"/>
    <w:tmpl w:val="D9E01E96"/>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4A0F5B28"/>
    <w:multiLevelType w:val="multilevel"/>
    <w:tmpl w:val="B43839C4"/>
    <w:lvl w:ilvl="0">
      <w:start w:val="1"/>
      <w:numFmt w:val="lowerLetter"/>
      <w:lvlText w:val="%1)"/>
      <w:lvlJc w:val="left"/>
      <w:pPr>
        <w:ind w:left="570" w:hanging="57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4B001301"/>
    <w:multiLevelType w:val="multilevel"/>
    <w:tmpl w:val="63D08C5E"/>
    <w:lvl w:ilvl="0">
      <w:start w:val="1"/>
      <w:numFmt w:val="decimal"/>
      <w:lvlText w:val="%1)"/>
      <w:lvlJc w:val="left"/>
      <w:pPr>
        <w:ind w:left="3195"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4BD8643B"/>
    <w:multiLevelType w:val="multilevel"/>
    <w:tmpl w:val="DC90247A"/>
    <w:lvl w:ilvl="0">
      <w:start w:val="1181332896"/>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54FE5365"/>
    <w:multiLevelType w:val="multilevel"/>
    <w:tmpl w:val="04520CB6"/>
    <w:lvl w:ilvl="0">
      <w:start w:val="1"/>
      <w:numFmt w:val="decimal"/>
      <w:lvlText w:val="%1."/>
      <w:lvlJc w:val="left"/>
      <w:pPr>
        <w:ind w:left="420" w:hanging="420"/>
      </w:pPr>
      <w:rPr>
        <w:rFonts w:ascii="Times New Roman" w:eastAsia="Times New Roman" w:hAnsi="Times New Roman" w:cs="Times New Roman"/>
        <w:b/>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55A025AC"/>
    <w:multiLevelType w:val="multilevel"/>
    <w:tmpl w:val="EB70E62A"/>
    <w:lvl w:ilvl="0">
      <w:start w:val="1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639147B"/>
    <w:multiLevelType w:val="multilevel"/>
    <w:tmpl w:val="D9BEF6FC"/>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581201A9"/>
    <w:multiLevelType w:val="multilevel"/>
    <w:tmpl w:val="C1E0476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73902383"/>
    <w:multiLevelType w:val="multilevel"/>
    <w:tmpl w:val="41A48F12"/>
    <w:lvl w:ilvl="0">
      <w:start w:val="1"/>
      <w:numFmt w:val="decimal"/>
      <w:lvlText w:val="(%1)"/>
      <w:lvlJc w:val="left"/>
      <w:pPr>
        <w:ind w:left="1980" w:hanging="54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5"/>
  </w:num>
  <w:num w:numId="2">
    <w:abstractNumId w:val="11"/>
  </w:num>
  <w:num w:numId="3">
    <w:abstractNumId w:val="13"/>
  </w:num>
  <w:num w:numId="4">
    <w:abstractNumId w:val="3"/>
  </w:num>
  <w:num w:numId="5">
    <w:abstractNumId w:val="2"/>
  </w:num>
  <w:num w:numId="6">
    <w:abstractNumId w:val="1"/>
  </w:num>
  <w:num w:numId="7">
    <w:abstractNumId w:val="12"/>
  </w:num>
  <w:num w:numId="8">
    <w:abstractNumId w:val="9"/>
  </w:num>
  <w:num w:numId="9">
    <w:abstractNumId w:val="0"/>
  </w:num>
  <w:num w:numId="10">
    <w:abstractNumId w:val="4"/>
  </w:num>
  <w:num w:numId="11">
    <w:abstractNumId w:val="10"/>
  </w:num>
  <w:num w:numId="12">
    <w:abstractNumId w:val="7"/>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A86"/>
    <w:rsid w:val="0003714F"/>
    <w:rsid w:val="0018349E"/>
    <w:rsid w:val="00236CE4"/>
    <w:rsid w:val="00383D1A"/>
    <w:rsid w:val="004627BD"/>
    <w:rsid w:val="0049118C"/>
    <w:rsid w:val="004B6F68"/>
    <w:rsid w:val="004C212E"/>
    <w:rsid w:val="004F21E6"/>
    <w:rsid w:val="00574773"/>
    <w:rsid w:val="007928BC"/>
    <w:rsid w:val="0084576D"/>
    <w:rsid w:val="008772D6"/>
    <w:rsid w:val="00943E5F"/>
    <w:rsid w:val="0096758A"/>
    <w:rsid w:val="009978C0"/>
    <w:rsid w:val="009A5D26"/>
    <w:rsid w:val="00A339F2"/>
    <w:rsid w:val="00B80814"/>
    <w:rsid w:val="00B94C14"/>
    <w:rsid w:val="00B95A86"/>
    <w:rsid w:val="00C25700"/>
    <w:rsid w:val="00C51F39"/>
    <w:rsid w:val="00CF5B3F"/>
    <w:rsid w:val="00D52473"/>
    <w:rsid w:val="00E17E57"/>
    <w:rsid w:val="00E65B99"/>
    <w:rsid w:val="00E716B7"/>
    <w:rsid w:val="00F97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AEEF7"/>
  <w15:docId w15:val="{6C9A6FE2-D44B-4C45-8454-0002BEDF3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jc w:val="center"/>
      <w:outlineLvl w:val="0"/>
    </w:pPr>
    <w:rPr>
      <w:b/>
      <w:sz w:val="24"/>
      <w:szCs w:val="24"/>
    </w:rPr>
  </w:style>
  <w:style w:type="paragraph" w:styleId="Heading2">
    <w:name w:val="heading 2"/>
    <w:basedOn w:val="Normal"/>
    <w:next w:val="Normal"/>
    <w:pPr>
      <w:keepNext/>
      <w:tabs>
        <w:tab w:val="left" w:pos="426"/>
      </w:tabs>
      <w:outlineLvl w:val="1"/>
    </w:pPr>
    <w:rPr>
      <w:sz w:val="24"/>
      <w:szCs w:val="24"/>
    </w:rPr>
  </w:style>
  <w:style w:type="paragraph" w:styleId="Heading3">
    <w:name w:val="heading 3"/>
    <w:basedOn w:val="Normal"/>
    <w:next w:val="Normal"/>
    <w:pPr>
      <w:keepNext/>
      <w:outlineLvl w:val="2"/>
    </w:pPr>
    <w:rPr>
      <w:sz w:val="24"/>
      <w:szCs w:val="24"/>
      <w:u w:val="single"/>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jc w:val="center"/>
    </w:pPr>
    <w:rPr>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F21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1E6"/>
    <w:rPr>
      <w:rFonts w:ascii="Segoe UI" w:hAnsi="Segoe UI" w:cs="Segoe UI"/>
      <w:sz w:val="18"/>
      <w:szCs w:val="18"/>
    </w:rPr>
  </w:style>
  <w:style w:type="paragraph" w:styleId="Header">
    <w:name w:val="header"/>
    <w:basedOn w:val="Normal"/>
    <w:link w:val="HeaderChar"/>
    <w:uiPriority w:val="99"/>
    <w:unhideWhenUsed/>
    <w:rsid w:val="004F21E6"/>
    <w:pPr>
      <w:tabs>
        <w:tab w:val="center" w:pos="4703"/>
        <w:tab w:val="right" w:pos="9406"/>
      </w:tabs>
    </w:pPr>
  </w:style>
  <w:style w:type="character" w:customStyle="1" w:styleId="HeaderChar">
    <w:name w:val="Header Char"/>
    <w:basedOn w:val="DefaultParagraphFont"/>
    <w:link w:val="Header"/>
    <w:uiPriority w:val="99"/>
    <w:rsid w:val="004F21E6"/>
  </w:style>
  <w:style w:type="paragraph" w:styleId="ListParagraph">
    <w:name w:val="List Paragraph"/>
    <w:basedOn w:val="Normal"/>
    <w:uiPriority w:val="34"/>
    <w:qFormat/>
    <w:rsid w:val="00E65B99"/>
    <w:pPr>
      <w:ind w:left="720"/>
      <w:contextualSpacing/>
    </w:pPr>
  </w:style>
  <w:style w:type="character" w:styleId="Hyperlink">
    <w:name w:val="Hyperlink"/>
    <w:basedOn w:val="DefaultParagraphFont"/>
    <w:uiPriority w:val="99"/>
    <w:unhideWhenUsed/>
    <w:rsid w:val="009978C0"/>
    <w:rPr>
      <w:color w:val="0000FF" w:themeColor="hyperlink"/>
      <w:u w:val="single"/>
    </w:rPr>
  </w:style>
  <w:style w:type="character" w:customStyle="1" w:styleId="UnresolvedMention">
    <w:name w:val="Unresolved Mention"/>
    <w:basedOn w:val="DefaultParagraphFont"/>
    <w:uiPriority w:val="99"/>
    <w:semiHidden/>
    <w:unhideWhenUsed/>
    <w:rsid w:val="009978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3.+Service+Contract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ikis.ec.europa.eu/display/ExactExternalWiki/ePRAG"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HTML/?uri=CELEX:32014L0024&amp;from=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11</Pages>
  <Words>4204</Words>
  <Characters>23969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Windows User</cp:lastModifiedBy>
  <cp:revision>19</cp:revision>
  <dcterms:created xsi:type="dcterms:W3CDTF">2019-04-04T17:26:00Z</dcterms:created>
  <dcterms:modified xsi:type="dcterms:W3CDTF">2024-10-15T12:50:00Z</dcterms:modified>
</cp:coreProperties>
</file>