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75AD4" w14:textId="77777777" w:rsidR="00CB4376" w:rsidRDefault="00CB4376" w:rsidP="00EA6C7C">
      <w:pPr>
        <w:jc w:val="center"/>
        <w:rPr>
          <w:bCs/>
          <w:sz w:val="28"/>
          <w:szCs w:val="28"/>
          <w:lang w:val="en-GB"/>
        </w:rPr>
      </w:pPr>
    </w:p>
    <w:p w14:paraId="5700E808" w14:textId="3AB14240" w:rsidR="004759A5" w:rsidRPr="00E87BA5" w:rsidRDefault="00D0650B" w:rsidP="00EA6C7C">
      <w:pPr>
        <w:jc w:val="center"/>
        <w:rPr>
          <w:bCs/>
          <w:sz w:val="28"/>
          <w:szCs w:val="28"/>
          <w:lang w:val="en-GB"/>
        </w:rPr>
      </w:pPr>
      <w:r w:rsidRPr="00E87BA5">
        <w:rPr>
          <w:bCs/>
          <w:sz w:val="28"/>
          <w:szCs w:val="28"/>
          <w:lang w:val="en-GB"/>
        </w:rPr>
        <w:t>ADDITIONAL INFORMATION ABOUT THE CONTRACT NOTICE</w:t>
      </w:r>
    </w:p>
    <w:p w14:paraId="58D26694" w14:textId="77777777" w:rsidR="004759A5" w:rsidRDefault="004759A5" w:rsidP="00EA6C7C">
      <w:pPr>
        <w:jc w:val="center"/>
        <w:rPr>
          <w:b/>
          <w:sz w:val="28"/>
          <w:szCs w:val="28"/>
          <w:lang w:val="en-GB"/>
        </w:rPr>
      </w:pPr>
    </w:p>
    <w:p w14:paraId="02DAB76D" w14:textId="1A105FFA" w:rsidR="00004E5B" w:rsidRPr="00E87BA5" w:rsidRDefault="00004E5B" w:rsidP="00004E5B">
      <w:pPr>
        <w:jc w:val="center"/>
        <w:outlineLvl w:val="0"/>
        <w:rPr>
          <w:rStyle w:val="Strong"/>
          <w:bCs/>
          <w:sz w:val="22"/>
          <w:szCs w:val="22"/>
        </w:rPr>
      </w:pPr>
      <w:r w:rsidRPr="00E87BA5">
        <w:rPr>
          <w:rStyle w:val="Strong"/>
          <w:bCs/>
          <w:sz w:val="22"/>
          <w:szCs w:val="22"/>
          <w:lang w:val="en-GB"/>
        </w:rPr>
        <w:t>CONSTRUCTION OF THE CENTRE FOR THE PREVENTION OF CLIMATE CHANGE IN VITICULTURE IN SREMSKI KARLOVCI</w:t>
      </w:r>
    </w:p>
    <w:p w14:paraId="40CA69EB" w14:textId="780797D9" w:rsidR="00EA6C7C" w:rsidRPr="00571687" w:rsidRDefault="00E17A51" w:rsidP="0025703B">
      <w:pPr>
        <w:spacing w:after="240"/>
        <w:jc w:val="center"/>
        <w:rPr>
          <w:sz w:val="28"/>
          <w:szCs w:val="28"/>
          <w:lang w:val="en-GB"/>
        </w:rPr>
      </w:pPr>
      <w:proofErr w:type="spellStart"/>
      <w:r>
        <w:rPr>
          <w:sz w:val="28"/>
          <w:szCs w:val="28"/>
          <w:lang w:val="en-GB"/>
        </w:rPr>
        <w:t>Sremski</w:t>
      </w:r>
      <w:proofErr w:type="spellEnd"/>
      <w:r>
        <w:rPr>
          <w:sz w:val="28"/>
          <w:szCs w:val="28"/>
          <w:lang w:val="en-GB"/>
        </w:rPr>
        <w:t xml:space="preserve"> </w:t>
      </w:r>
      <w:proofErr w:type="spellStart"/>
      <w:r>
        <w:rPr>
          <w:sz w:val="28"/>
          <w:szCs w:val="28"/>
          <w:lang w:val="en-GB"/>
        </w:rPr>
        <w:t>Karlovci</w:t>
      </w:r>
      <w:proofErr w:type="spellEnd"/>
      <w:r>
        <w:rPr>
          <w:sz w:val="28"/>
          <w:szCs w:val="28"/>
          <w:lang w:val="en-GB"/>
        </w:rPr>
        <w:t xml:space="preserve"> / </w:t>
      </w:r>
      <w:proofErr w:type="spellStart"/>
      <w:r>
        <w:rPr>
          <w:sz w:val="28"/>
          <w:szCs w:val="28"/>
          <w:lang w:val="en-GB"/>
        </w:rPr>
        <w:t>Repulic</w:t>
      </w:r>
      <w:proofErr w:type="spellEnd"/>
      <w:r>
        <w:rPr>
          <w:sz w:val="28"/>
          <w:szCs w:val="28"/>
          <w:lang w:val="en-GB"/>
        </w:rPr>
        <w:t xml:space="preserve"> of Serbia</w:t>
      </w:r>
    </w:p>
    <w:p w14:paraId="76FE0358" w14:textId="77777777" w:rsidR="00004E5B" w:rsidRDefault="00004E5B" w:rsidP="007A21C8">
      <w:pPr>
        <w:outlineLvl w:val="0"/>
        <w:rPr>
          <w:rStyle w:val="Strong"/>
          <w:sz w:val="22"/>
          <w:szCs w:val="22"/>
          <w:highlight w:val="yellow"/>
          <w:lang w:val="en-GB"/>
        </w:rPr>
      </w:pP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27C26D14" w14:textId="5D6BE973" w:rsidR="005407B9" w:rsidRPr="00E27999" w:rsidRDefault="00004E5B" w:rsidP="00E27999">
      <w:pPr>
        <w:ind w:firstLine="360"/>
        <w:rPr>
          <w:rStyle w:val="Strong"/>
          <w:b w:val="0"/>
          <w:color w:val="1F497D"/>
        </w:rPr>
      </w:pPr>
      <w:r w:rsidRPr="00E17A51">
        <w:rPr>
          <w:rStyle w:val="Strong"/>
          <w:b w:val="0"/>
          <w:sz w:val="22"/>
          <w:szCs w:val="22"/>
          <w:lang w:val="en-GB"/>
        </w:rPr>
        <w:t>U</w:t>
      </w:r>
      <w:r w:rsidR="005407B9" w:rsidRPr="00E17A51">
        <w:rPr>
          <w:rStyle w:val="Strong"/>
          <w:b w:val="0"/>
          <w:sz w:val="22"/>
          <w:szCs w:val="22"/>
          <w:lang w:val="en-GB"/>
        </w:rPr>
        <w:t>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424B58D0" w14:textId="579C2E3A" w:rsidR="00004E5B" w:rsidRDefault="00004E5B" w:rsidP="00AA22A5">
      <w:pPr>
        <w:pStyle w:val="PRAGHeading2"/>
        <w:numPr>
          <w:ilvl w:val="0"/>
          <w:numId w:val="0"/>
        </w:numPr>
        <w:ind w:left="426"/>
        <w:rPr>
          <w:lang w:val="en-GB"/>
        </w:rPr>
      </w:pPr>
      <w:r w:rsidRPr="00004E5B">
        <w:rPr>
          <w:lang w:val="en-GB"/>
        </w:rPr>
        <w:t xml:space="preserve">INTERREG IPA CBC Programme </w:t>
      </w:r>
      <w:r>
        <w:rPr>
          <w:lang w:val="en-GB"/>
        </w:rPr>
        <w:t>Croatia –</w:t>
      </w:r>
      <w:r w:rsidRPr="00004E5B">
        <w:rPr>
          <w:lang w:val="en-GB"/>
        </w:rPr>
        <w:t xml:space="preserve"> Serbia</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1A285695" w14:textId="57F2023B" w:rsidR="00E17A51" w:rsidRDefault="009679BD" w:rsidP="00170460">
      <w:pPr>
        <w:ind w:left="426" w:right="360"/>
        <w:rPr>
          <w:sz w:val="22"/>
          <w:szCs w:val="22"/>
          <w:lang w:val="en-GB"/>
        </w:rPr>
      </w:pPr>
      <w:r w:rsidRPr="00E17A51">
        <w:rPr>
          <w:sz w:val="22"/>
          <w:szCs w:val="22"/>
          <w:lang w:val="en-GB"/>
        </w:rPr>
        <w:t xml:space="preserve">Project activity </w:t>
      </w:r>
      <w:proofErr w:type="spellStart"/>
      <w:r w:rsidRPr="00E17A51">
        <w:rPr>
          <w:sz w:val="22"/>
          <w:szCs w:val="22"/>
          <w:lang w:val="en-GB"/>
        </w:rPr>
        <w:t>Activity</w:t>
      </w:r>
      <w:proofErr w:type="spellEnd"/>
      <w:r w:rsidRPr="00E17A51">
        <w:rPr>
          <w:sz w:val="22"/>
          <w:szCs w:val="22"/>
          <w:lang w:val="en-GB"/>
        </w:rPr>
        <w:t xml:space="preserve"> 2.1. </w:t>
      </w:r>
      <w:r w:rsidR="0057043D" w:rsidRPr="00E17A51">
        <w:rPr>
          <w:sz w:val="22"/>
          <w:szCs w:val="22"/>
          <w:lang w:val="en-GB"/>
        </w:rPr>
        <w:t xml:space="preserve"> </w:t>
      </w:r>
      <w:r w:rsidR="00E17A51">
        <w:rPr>
          <w:sz w:val="22"/>
          <w:szCs w:val="22"/>
          <w:lang w:val="en-GB"/>
        </w:rPr>
        <w:t xml:space="preserve"> / </w:t>
      </w:r>
      <w:r w:rsidR="00E17A51" w:rsidRPr="00E17A51">
        <w:rPr>
          <w:sz w:val="22"/>
          <w:szCs w:val="22"/>
        </w:rPr>
        <w:t>Infrastructure and works</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235711BD" w14:textId="3158A0AC" w:rsidR="00F72244" w:rsidRPr="00004E5B" w:rsidRDefault="00F72244" w:rsidP="00004E5B">
      <w:pPr>
        <w:pStyle w:val="paragraph"/>
        <w:spacing w:before="0" w:beforeAutospacing="0" w:after="0" w:afterAutospacing="0"/>
        <w:ind w:left="426" w:right="270"/>
        <w:jc w:val="both"/>
        <w:textAlignment w:val="baseline"/>
        <w:rPr>
          <w:sz w:val="22"/>
          <w:szCs w:val="22"/>
          <w:lang w:val="en-US"/>
        </w:rPr>
      </w:pPr>
      <w:r w:rsidRPr="00004E5B">
        <w:rPr>
          <w:iCs/>
          <w:sz w:val="22"/>
          <w:szCs w:val="22"/>
          <w:lang w:val="en-IE"/>
        </w:rPr>
        <w:t>The legal basis of this procedure is Regulation (EU) No</w:t>
      </w:r>
      <w:r w:rsidR="00004E5B" w:rsidRPr="00004E5B">
        <w:rPr>
          <w:iCs/>
          <w:sz w:val="22"/>
          <w:szCs w:val="22"/>
          <w:lang w:val="en-IE"/>
        </w:rPr>
        <w:t xml:space="preserve">. </w:t>
      </w:r>
      <w:r w:rsidR="00567635" w:rsidRPr="00004E5B">
        <w:rPr>
          <w:iCs/>
          <w:sz w:val="22"/>
          <w:szCs w:val="22"/>
          <w:lang w:val="en-IE"/>
        </w:rPr>
        <w:t>2021/1529</w:t>
      </w:r>
      <w:r w:rsidRPr="00004E5B">
        <w:rPr>
          <w:iCs/>
          <w:sz w:val="22"/>
          <w:szCs w:val="22"/>
          <w:lang w:val="en-IE"/>
        </w:rPr>
        <w:t xml:space="preserve"> establishing the Instrument for Pre-accession Assistance (IPA III). </w:t>
      </w:r>
      <w:r w:rsidR="00004E5B" w:rsidRPr="00004E5B">
        <w:rPr>
          <w:iCs/>
          <w:sz w:val="22"/>
          <w:szCs w:val="22"/>
          <w:lang w:val="en-IE"/>
        </w:rPr>
        <w:t>See Annex A2 of the practical guide.</w:t>
      </w:r>
      <w:r w:rsidR="00004E5B">
        <w:rPr>
          <w:iCs/>
          <w:sz w:val="22"/>
          <w:szCs w:val="22"/>
          <w:lang w:val="en-IE"/>
        </w:rPr>
        <w:t xml:space="preserve"> </w:t>
      </w:r>
    </w:p>
    <w:p w14:paraId="5E50426B" w14:textId="72D155F0" w:rsidR="00F72244" w:rsidRDefault="00F72244" w:rsidP="00C348D5">
      <w:pPr>
        <w:pStyle w:val="paragraph"/>
        <w:spacing w:before="0" w:beforeAutospacing="0" w:after="0" w:afterAutospacing="0"/>
        <w:ind w:left="426"/>
        <w:jc w:val="both"/>
        <w:textAlignment w:val="baseline"/>
        <w:rPr>
          <w:iCs/>
          <w:sz w:val="22"/>
          <w:szCs w:val="22"/>
          <w:lang w:val="en-IE"/>
        </w:rPr>
      </w:pPr>
      <w:r w:rsidRPr="00004E5B">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C0C1C" w:rsidRPr="00004E5B">
        <w:rPr>
          <w:iCs/>
          <w:sz w:val="22"/>
          <w:szCs w:val="22"/>
          <w:lang w:val="en-IE"/>
        </w:rPr>
        <w:t>1</w:t>
      </w:r>
      <w:r w:rsidRPr="00004E5B">
        <w:rPr>
          <w:iCs/>
          <w:sz w:val="22"/>
          <w:szCs w:val="22"/>
          <w:lang w:val="en-IE"/>
        </w:rPr>
        <w:t xml:space="preserve"> of Regulation (EU) No [</w:t>
      </w:r>
      <w:r w:rsidR="00567635" w:rsidRPr="00004E5B">
        <w:rPr>
          <w:iCs/>
          <w:sz w:val="22"/>
          <w:szCs w:val="22"/>
          <w:lang w:val="en-IE"/>
        </w:rPr>
        <w:t>2021/1529</w:t>
      </w:r>
      <w:r w:rsidRPr="00004E5B">
        <w:rPr>
          <w:iCs/>
          <w:sz w:val="22"/>
          <w:szCs w:val="22"/>
          <w:lang w:val="en-IE"/>
        </w:rPr>
        <w:t xml:space="preserve">]  establishing the Instrument for Pre-accession Assistance (IPA III). </w:t>
      </w:r>
    </w:p>
    <w:p w14:paraId="6EC5F3A1" w14:textId="266B8C7C" w:rsidR="00004E5B" w:rsidRPr="00004E5B" w:rsidRDefault="00004E5B" w:rsidP="00C348D5">
      <w:pPr>
        <w:pStyle w:val="paragraph"/>
        <w:spacing w:before="0" w:beforeAutospacing="0" w:after="0" w:afterAutospacing="0"/>
        <w:ind w:left="426"/>
        <w:jc w:val="both"/>
        <w:textAlignment w:val="baseline"/>
        <w:rPr>
          <w:iCs/>
          <w:sz w:val="22"/>
          <w:szCs w:val="22"/>
          <w:lang w:val="en-US"/>
        </w:rPr>
      </w:pPr>
      <w:r w:rsidRPr="00004E5B">
        <w:rPr>
          <w:iCs/>
          <w:sz w:val="22"/>
          <w:szCs w:val="22"/>
          <w:lang w:val="en-US"/>
        </w:rPr>
        <w:t>All supplies and materials under this contract may originate in any country.</w:t>
      </w: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0E2749">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0D349B1C" w14:textId="77777777"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094506B5" w14:textId="20B9F55F" w:rsidR="00004E5B" w:rsidRPr="0057043D" w:rsidRDefault="00004E5B" w:rsidP="0057043D">
      <w:pPr>
        <w:pStyle w:val="PRAGHeading2"/>
        <w:numPr>
          <w:ilvl w:val="0"/>
          <w:numId w:val="0"/>
        </w:numPr>
        <w:ind w:firstLine="426"/>
        <w:rPr>
          <w:rStyle w:val="Emphasis"/>
          <w:i w:val="0"/>
          <w:sz w:val="22"/>
          <w:szCs w:val="22"/>
          <w:lang w:val="en-GB"/>
        </w:rPr>
      </w:pPr>
      <w:r w:rsidRPr="00004E5B">
        <w:rPr>
          <w:rStyle w:val="Emphasis"/>
          <w:i w:val="0"/>
          <w:sz w:val="22"/>
          <w:szCs w:val="22"/>
          <w:lang w:val="en-GB"/>
        </w:rPr>
        <w:t>1</w:t>
      </w:r>
      <w:r w:rsidR="0057043D">
        <w:rPr>
          <w:rStyle w:val="Emphasis"/>
          <w:i w:val="0"/>
          <w:sz w:val="22"/>
          <w:szCs w:val="22"/>
          <w:lang w:val="en-GB"/>
        </w:rPr>
        <w:t>2</w:t>
      </w:r>
      <w:r w:rsidRPr="00004E5B">
        <w:rPr>
          <w:rStyle w:val="Emphasis"/>
          <w:i w:val="0"/>
          <w:sz w:val="22"/>
          <w:szCs w:val="22"/>
          <w:lang w:val="en-GB"/>
        </w:rPr>
        <w:t xml:space="preserve"> </w:t>
      </w:r>
      <w:r w:rsidRPr="0057043D">
        <w:rPr>
          <w:rStyle w:val="Emphasis"/>
          <w:i w:val="0"/>
          <w:sz w:val="22"/>
          <w:szCs w:val="22"/>
          <w:lang w:val="en-GB"/>
        </w:rPr>
        <w:t>months (</w:t>
      </w:r>
      <w:r w:rsidR="0057043D" w:rsidRPr="0057043D">
        <w:rPr>
          <w:rStyle w:val="Emphasis"/>
          <w:i w:val="0"/>
          <w:sz w:val="22"/>
          <w:szCs w:val="22"/>
          <w:lang w:val="en-GB"/>
        </w:rPr>
        <w:t>365 days)</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lastRenderedPageBreak/>
        <w:t>Additional information</w:t>
      </w:r>
    </w:p>
    <w:p w14:paraId="6858578B" w14:textId="77777777" w:rsidR="00004E5B"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004E5B">
        <w:rPr>
          <w:sz w:val="22"/>
          <w:szCs w:val="22"/>
          <w:lang w:val="en-GB"/>
        </w:rPr>
        <w:t>RSD.</w:t>
      </w:r>
    </w:p>
    <w:p w14:paraId="294D0A39" w14:textId="77777777" w:rsidR="001C38B6" w:rsidRDefault="001C38B6" w:rsidP="00075D67">
      <w:pPr>
        <w:keepNext/>
        <w:keepLines/>
        <w:jc w:val="center"/>
        <w:rPr>
          <w:rStyle w:val="Strong"/>
          <w:sz w:val="22"/>
          <w:szCs w:val="22"/>
          <w:lang w:val="en-GB"/>
        </w:rPr>
      </w:pPr>
    </w:p>
    <w:p w14:paraId="4A564958" w14:textId="0B8DE847" w:rsidR="0057553C" w:rsidRPr="00DD2F41" w:rsidRDefault="00AA22A5" w:rsidP="00075D67">
      <w:pPr>
        <w:keepNext/>
        <w:keepLines/>
        <w:jc w:val="center"/>
        <w:rPr>
          <w:rStyle w:val="Strong"/>
          <w:sz w:val="22"/>
          <w:szCs w:val="22"/>
          <w:lang w:val="en-GB"/>
        </w:rPr>
      </w:pPr>
      <w:r w:rsidRPr="00004E5B">
        <w:rPr>
          <w:rStyle w:val="Strong"/>
          <w:sz w:val="22"/>
          <w:szCs w:val="22"/>
          <w:lang w:val="en-GB"/>
        </w:rPr>
        <w:t>SELECTION AND AWARD</w:t>
      </w:r>
      <w:r w:rsidR="00CA74E5" w:rsidRPr="00004E5B">
        <w:rPr>
          <w:rStyle w:val="Strong"/>
          <w:sz w:val="22"/>
          <w:szCs w:val="22"/>
          <w:lang w:val="en-GB"/>
        </w:rPr>
        <w:t>]</w:t>
      </w:r>
      <w:r w:rsidRPr="00004E5B">
        <w:rPr>
          <w:rStyle w:val="Strong"/>
          <w:sz w:val="22"/>
          <w:szCs w:val="22"/>
          <w:lang w:val="en-GB"/>
        </w:rPr>
        <w:t xml:space="preserve"> CRITERIA</w:t>
      </w: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7E766A39" w14:textId="1BC9CB1C" w:rsidR="00EA349D" w:rsidRPr="00004E5B" w:rsidRDefault="00993F6E" w:rsidP="0025703B">
      <w:pPr>
        <w:spacing w:before="240" w:after="0"/>
        <w:ind w:left="426" w:right="-48"/>
        <w:jc w:val="both"/>
        <w:rPr>
          <w:sz w:val="22"/>
          <w:szCs w:val="22"/>
          <w:lang w:val="en-GB"/>
        </w:rPr>
      </w:pPr>
      <w:r w:rsidRPr="00004E5B">
        <w:rPr>
          <w:sz w:val="22"/>
          <w:szCs w:val="22"/>
          <w:lang w:val="en-GB"/>
        </w:rPr>
        <w:t xml:space="preserve">The following selection criteria will be applied to candidates. In the case of </w:t>
      </w:r>
      <w:r w:rsidR="002F1DF5" w:rsidRPr="00004E5B">
        <w:rPr>
          <w:sz w:val="22"/>
          <w:szCs w:val="22"/>
          <w:lang w:val="en-GB"/>
        </w:rPr>
        <w:t>requests to participate</w:t>
      </w:r>
      <w:r w:rsidRPr="00004E5B">
        <w:rPr>
          <w:sz w:val="22"/>
          <w:szCs w:val="22"/>
          <w:lang w:val="en-GB"/>
        </w:rPr>
        <w:t xml:space="preserve"> submitted by a consortium, these selection criteria will be applied to the consortium as a whole if not specified otherwise. The selection criteria will not be applied to natural persons and single-member companies when they are sub-contractors.</w:t>
      </w:r>
    </w:p>
    <w:p w14:paraId="125E326F" w14:textId="77777777" w:rsidR="00EA349D" w:rsidRPr="00004E5B" w:rsidRDefault="00EA349D" w:rsidP="00242F6D">
      <w:pPr>
        <w:spacing w:before="240"/>
        <w:ind w:left="414"/>
        <w:jc w:val="both"/>
        <w:rPr>
          <w:sz w:val="22"/>
          <w:szCs w:val="22"/>
          <w:lang w:val="en-GB"/>
        </w:rPr>
      </w:pPr>
      <w:r w:rsidRPr="00004E5B">
        <w:rPr>
          <w:sz w:val="22"/>
          <w:szCs w:val="22"/>
          <w:lang w:val="en-GB"/>
        </w:rPr>
        <w:t>The candidate shall not use previous experience which caused breach of contract and termination by a contracting authority as a reference for selection criteria.</w:t>
      </w:r>
    </w:p>
    <w:p w14:paraId="5594B7AA" w14:textId="48FC75EE" w:rsidR="00943C88" w:rsidRPr="001E7A39" w:rsidRDefault="00943C88" w:rsidP="00943C88">
      <w:pPr>
        <w:ind w:firstLine="414"/>
        <w:rPr>
          <w:sz w:val="22"/>
          <w:szCs w:val="22"/>
        </w:rPr>
      </w:pPr>
      <w:r w:rsidRPr="00004E5B">
        <w:rPr>
          <w:sz w:val="22"/>
          <w:szCs w:val="22"/>
        </w:rPr>
        <w:t>The selection criteria for each tenderer are as follows:</w:t>
      </w:r>
    </w:p>
    <w:p w14:paraId="74CAEB71" w14:textId="18450514" w:rsidR="00F33CD5" w:rsidRDefault="00AA22A5" w:rsidP="00004E5B">
      <w:pPr>
        <w:pStyle w:val="Heading4"/>
      </w:pPr>
      <w:r w:rsidRPr="00242F6D">
        <w:rPr>
          <w:b/>
          <w:u w:val="single"/>
        </w:rPr>
        <w:t>Economic and financial capacity</w:t>
      </w:r>
      <w:r w:rsidR="00F33CD5" w:rsidRPr="00242F6D">
        <w:t xml:space="preserve"> </w:t>
      </w:r>
      <w:r w:rsidR="00F33CD5" w:rsidRPr="00242F6D">
        <w:rPr>
          <w:b/>
        </w:rPr>
        <w:t>(</w:t>
      </w:r>
      <w:r w:rsidR="00F33CD5" w:rsidRPr="00242F6D">
        <w:t xml:space="preserve">based on item 3 of the </w:t>
      </w:r>
      <w:r w:rsidR="003F797F" w:rsidRPr="00242F6D">
        <w:t xml:space="preserve">request to participate </w:t>
      </w:r>
      <w:r w:rsidR="00F33CD5" w:rsidRPr="00242F6D">
        <w:t xml:space="preserve">form, </w:t>
      </w:r>
      <w:r w:rsidR="003F797F" w:rsidRPr="00242F6D">
        <w:t xml:space="preserve">or </w:t>
      </w:r>
      <w:r w:rsidR="00F33CD5" w:rsidRPr="00242F6D">
        <w:t>on item</w:t>
      </w:r>
      <w:r w:rsidR="00AA11FD">
        <w:t xml:space="preserve"> </w:t>
      </w:r>
      <w:r w:rsidR="00F33CD5" w:rsidRPr="00AA11FD">
        <w:t>3 of supply tender form). In case of candidate being a public body, equivalent information should be provided. The reference period which will be taken into account will be the last three years for which accounts have been closed.</w:t>
      </w:r>
    </w:p>
    <w:p w14:paraId="67B7D2CC" w14:textId="1D2D33AD" w:rsidR="00004E5B" w:rsidRPr="00E14E17" w:rsidRDefault="00004E5B" w:rsidP="00004E5B">
      <w:pPr>
        <w:pStyle w:val="ListParagraph"/>
        <w:numPr>
          <w:ilvl w:val="0"/>
          <w:numId w:val="23"/>
        </w:numPr>
        <w:rPr>
          <w:sz w:val="22"/>
          <w:szCs w:val="22"/>
        </w:rPr>
      </w:pPr>
      <w:r w:rsidRPr="00E14E17">
        <w:rPr>
          <w:sz w:val="22"/>
          <w:szCs w:val="22"/>
        </w:rPr>
        <w:t xml:space="preserve">the average annual turnover of the tenderer in the past 3 years (2023, 2022, 2021) must be at least at </w:t>
      </w:r>
      <w:r w:rsidR="00E17A51" w:rsidRPr="00E14E17">
        <w:rPr>
          <w:sz w:val="22"/>
          <w:szCs w:val="22"/>
        </w:rPr>
        <w:t xml:space="preserve">double </w:t>
      </w:r>
      <w:r w:rsidRPr="00E14E17">
        <w:rPr>
          <w:sz w:val="22"/>
          <w:szCs w:val="22"/>
        </w:rPr>
        <w:t xml:space="preserve">of contract value </w:t>
      </w:r>
    </w:p>
    <w:p w14:paraId="0EBE00AB" w14:textId="71324617" w:rsidR="00004E5B" w:rsidRPr="00004E5B" w:rsidRDefault="00004E5B" w:rsidP="00004E5B">
      <w:pPr>
        <w:pStyle w:val="ListParagraph"/>
        <w:numPr>
          <w:ilvl w:val="0"/>
          <w:numId w:val="23"/>
        </w:numPr>
        <w:rPr>
          <w:sz w:val="22"/>
          <w:szCs w:val="22"/>
        </w:rPr>
      </w:pPr>
      <w:r w:rsidRPr="00004E5B">
        <w:rPr>
          <w:sz w:val="22"/>
          <w:szCs w:val="22"/>
        </w:rPr>
        <w:t>if it is the sole tenderer, it must have access to sufficient credit and other financial facilities to cover the required cash flow for the duration of the contract. In any case, the amount of credit available must exceed the equivalent of 30% of contract value.</w:t>
      </w:r>
    </w:p>
    <w:p w14:paraId="439D98ED" w14:textId="60ADC0C4" w:rsidR="009D15E6" w:rsidRDefault="009D15E6" w:rsidP="00FE4894">
      <w:pPr>
        <w:pStyle w:val="Blockquote"/>
        <w:ind w:right="-48"/>
        <w:jc w:val="both"/>
        <w:rPr>
          <w:sz w:val="22"/>
          <w:szCs w:val="22"/>
          <w:lang w:val="en-GB"/>
        </w:rPr>
      </w:pP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0B4E58DF" w14:textId="77777777" w:rsidR="00004E5B" w:rsidRDefault="00004E5B" w:rsidP="00FE4894">
      <w:pPr>
        <w:pStyle w:val="Blockquote"/>
        <w:ind w:left="546" w:right="-48"/>
        <w:jc w:val="both"/>
        <w:rPr>
          <w:sz w:val="22"/>
          <w:szCs w:val="22"/>
          <w:lang w:val="en-GB"/>
        </w:rPr>
      </w:pPr>
      <w:r w:rsidRPr="00004E5B">
        <w:rPr>
          <w:sz w:val="22"/>
          <w:szCs w:val="22"/>
          <w:lang w:val="en-GB"/>
        </w:rPr>
        <w:t>The objective of this criterion is to examine whether or not the candidate/tenderer (i.e., the consortium as a whole, in the case of a request to participate from a consortium):</w:t>
      </w:r>
    </w:p>
    <w:p w14:paraId="2FE77E8C" w14:textId="77777777" w:rsidR="00787720" w:rsidRDefault="00787720" w:rsidP="00FE4894">
      <w:pPr>
        <w:pStyle w:val="Blockquote"/>
        <w:ind w:left="546" w:right="-48"/>
        <w:jc w:val="both"/>
        <w:rPr>
          <w:sz w:val="22"/>
          <w:szCs w:val="22"/>
          <w:lang w:val="en-GB"/>
        </w:rPr>
      </w:pPr>
    </w:p>
    <w:p w14:paraId="01670593" w14:textId="77777777" w:rsidR="00787720" w:rsidRPr="00004E5B" w:rsidRDefault="00787720" w:rsidP="00FE4894">
      <w:pPr>
        <w:pStyle w:val="Blockquote"/>
        <w:ind w:left="546" w:right="-48"/>
        <w:jc w:val="both"/>
        <w:rPr>
          <w:sz w:val="22"/>
          <w:szCs w:val="22"/>
          <w:lang w:val="en-GB"/>
        </w:rPr>
      </w:pPr>
    </w:p>
    <w:p w14:paraId="3E1A42EB" w14:textId="1085FBB4" w:rsidR="00FE4894" w:rsidRDefault="00004E5B" w:rsidP="00FE4894">
      <w:pPr>
        <w:pStyle w:val="Blockquote"/>
        <w:numPr>
          <w:ilvl w:val="0"/>
          <w:numId w:val="24"/>
        </w:numPr>
        <w:ind w:right="-48"/>
        <w:jc w:val="both"/>
        <w:rPr>
          <w:sz w:val="22"/>
          <w:szCs w:val="22"/>
          <w:lang w:val="en-GB"/>
        </w:rPr>
      </w:pPr>
      <w:r w:rsidRPr="00004E5B">
        <w:rPr>
          <w:sz w:val="22"/>
          <w:szCs w:val="22"/>
          <w:lang w:val="en-GB"/>
        </w:rPr>
        <w:t>has sufficient ongoing staff resources, expertise and experience to be able to handle the proposed contract</w:t>
      </w:r>
    </w:p>
    <w:p w14:paraId="70F9BD1F" w14:textId="675FC9E4" w:rsidR="00FE4894" w:rsidRDefault="00004E5B" w:rsidP="00FE4894">
      <w:pPr>
        <w:pStyle w:val="Blockquote"/>
        <w:numPr>
          <w:ilvl w:val="0"/>
          <w:numId w:val="24"/>
        </w:numPr>
        <w:ind w:right="-48"/>
        <w:jc w:val="both"/>
        <w:rPr>
          <w:sz w:val="22"/>
          <w:szCs w:val="22"/>
          <w:lang w:val="en-GB"/>
        </w:rPr>
      </w:pPr>
      <w:r w:rsidRPr="00004E5B">
        <w:rPr>
          <w:sz w:val="22"/>
          <w:szCs w:val="22"/>
          <w:lang w:val="en-GB"/>
        </w:rPr>
        <w:t xml:space="preserve">all its key personnel must have at </w:t>
      </w:r>
      <w:r w:rsidRPr="00B84E51">
        <w:rPr>
          <w:sz w:val="22"/>
          <w:szCs w:val="22"/>
          <w:lang w:val="en-GB"/>
        </w:rPr>
        <w:t xml:space="preserve">least </w:t>
      </w:r>
      <w:r w:rsidR="00020081" w:rsidRPr="00B84E51">
        <w:rPr>
          <w:sz w:val="22"/>
          <w:szCs w:val="22"/>
          <w:lang w:val="en-GB"/>
        </w:rPr>
        <w:t>five</w:t>
      </w:r>
      <w:r w:rsidR="004A2C3A" w:rsidRPr="00B84E51">
        <w:rPr>
          <w:sz w:val="22"/>
          <w:szCs w:val="22"/>
          <w:lang w:val="en-GB"/>
        </w:rPr>
        <w:t xml:space="preserve"> (</w:t>
      </w:r>
      <w:r w:rsidR="00020081" w:rsidRPr="00B84E51">
        <w:rPr>
          <w:sz w:val="22"/>
          <w:szCs w:val="22"/>
          <w:lang w:val="en-GB"/>
        </w:rPr>
        <w:t>5</w:t>
      </w:r>
      <w:r w:rsidR="004A2C3A" w:rsidRPr="00B84E51">
        <w:rPr>
          <w:sz w:val="22"/>
          <w:szCs w:val="22"/>
          <w:lang w:val="en-GB"/>
        </w:rPr>
        <w:t xml:space="preserve">) </w:t>
      </w:r>
      <w:r w:rsidRPr="00B84E51">
        <w:rPr>
          <w:sz w:val="22"/>
          <w:szCs w:val="22"/>
          <w:lang w:val="en-GB"/>
        </w:rPr>
        <w:t>years</w:t>
      </w:r>
      <w:r w:rsidRPr="004A2C3A">
        <w:rPr>
          <w:sz w:val="22"/>
          <w:szCs w:val="22"/>
          <w:lang w:val="en-GB"/>
        </w:rPr>
        <w:t xml:space="preserve"> appropriate experience and proven qualifications relevant to works of a similar nature to this project</w:t>
      </w:r>
      <w:r w:rsidRPr="00004E5B">
        <w:rPr>
          <w:sz w:val="22"/>
          <w:szCs w:val="22"/>
          <w:lang w:val="en-GB"/>
        </w:rPr>
        <w:t>.</w:t>
      </w:r>
    </w:p>
    <w:p w14:paraId="692D2035" w14:textId="26A5B8A3" w:rsidR="00004E5B" w:rsidRPr="00004E5B" w:rsidRDefault="00004E5B" w:rsidP="00FE4894">
      <w:pPr>
        <w:pStyle w:val="Blockquote"/>
        <w:numPr>
          <w:ilvl w:val="0"/>
          <w:numId w:val="24"/>
        </w:numPr>
        <w:ind w:right="-48"/>
        <w:jc w:val="both"/>
        <w:rPr>
          <w:sz w:val="22"/>
          <w:szCs w:val="22"/>
          <w:lang w:val="en-GB"/>
        </w:rPr>
      </w:pPr>
      <w:r w:rsidRPr="00004E5B">
        <w:rPr>
          <w:sz w:val="22"/>
          <w:szCs w:val="22"/>
          <w:lang w:val="en-GB"/>
        </w:rPr>
        <w:t>At least 2 (two) graduated civil engineers with a valid license responsible contractor of building constructions and construction-craft works on high-rise construction, civil engineering and hydro-construction facilities (ICS license number 410 or 411 or corresponding license of the Ministry of Construction, Transport and Infrastructure)</w:t>
      </w:r>
    </w:p>
    <w:p w14:paraId="294E5247" w14:textId="49323846" w:rsidR="00FE4894" w:rsidRDefault="00004E5B" w:rsidP="00FE4894">
      <w:pPr>
        <w:pStyle w:val="Blockquote"/>
        <w:numPr>
          <w:ilvl w:val="0"/>
          <w:numId w:val="24"/>
        </w:numPr>
        <w:ind w:right="-48"/>
        <w:jc w:val="both"/>
        <w:rPr>
          <w:sz w:val="22"/>
          <w:szCs w:val="22"/>
          <w:lang w:val="en-GB"/>
        </w:rPr>
      </w:pPr>
      <w:r w:rsidRPr="00004E5B">
        <w:rPr>
          <w:sz w:val="22"/>
          <w:szCs w:val="22"/>
          <w:lang w:val="en-GB"/>
        </w:rPr>
        <w:t>At least 1 (one) graduate electrical engineer with a valid license responsible contractor of low and medium voltage power installations (ICS license number 450 or 453 or appropriate license of the Ministry of Construction, Transport and Infrastructure)</w:t>
      </w:r>
    </w:p>
    <w:p w14:paraId="0D2E6DAD" w14:textId="77777777" w:rsidR="00FE4894" w:rsidRDefault="00004E5B" w:rsidP="00FE4894">
      <w:pPr>
        <w:pStyle w:val="Blockquote"/>
        <w:numPr>
          <w:ilvl w:val="0"/>
          <w:numId w:val="24"/>
        </w:numPr>
        <w:ind w:right="-48"/>
        <w:jc w:val="both"/>
        <w:rPr>
          <w:sz w:val="22"/>
          <w:szCs w:val="22"/>
          <w:lang w:val="en-GB"/>
        </w:rPr>
      </w:pPr>
      <w:r w:rsidRPr="00004E5B">
        <w:rPr>
          <w:sz w:val="22"/>
          <w:szCs w:val="22"/>
          <w:lang w:val="en-GB"/>
        </w:rPr>
        <w:t>At least 1 (one) graduate mechanical engineer with a valid license responsible contractor of thermomechanical installations, process and gas technology (ICS license number 430 or corresponding license of the Ministry of Construction, Transport and Infrastructure)</w:t>
      </w:r>
    </w:p>
    <w:p w14:paraId="327CD3B9" w14:textId="3EA90B93" w:rsidR="00004E5B" w:rsidRPr="00004E5B" w:rsidRDefault="00004E5B" w:rsidP="00FE4894">
      <w:pPr>
        <w:pStyle w:val="Blockquote"/>
        <w:numPr>
          <w:ilvl w:val="0"/>
          <w:numId w:val="24"/>
        </w:numPr>
        <w:ind w:right="-48"/>
        <w:jc w:val="both"/>
        <w:rPr>
          <w:sz w:val="22"/>
          <w:szCs w:val="22"/>
          <w:lang w:val="en-GB"/>
        </w:rPr>
      </w:pPr>
      <w:r w:rsidRPr="00004E5B">
        <w:rPr>
          <w:sz w:val="22"/>
          <w:szCs w:val="22"/>
          <w:lang w:val="en-GB"/>
        </w:rPr>
        <w:t>At least 2 (two) operators of construction machines with a Certificate of ability to perform the work of operators of construction machines</w:t>
      </w:r>
    </w:p>
    <w:p w14:paraId="4E0D414C" w14:textId="77777777" w:rsidR="00FE4894" w:rsidRDefault="00004E5B" w:rsidP="00FE4894">
      <w:pPr>
        <w:pStyle w:val="Blockquote"/>
        <w:numPr>
          <w:ilvl w:val="0"/>
          <w:numId w:val="24"/>
        </w:numPr>
        <w:ind w:right="-48"/>
        <w:jc w:val="both"/>
        <w:rPr>
          <w:sz w:val="22"/>
          <w:szCs w:val="22"/>
          <w:lang w:val="en-GB"/>
        </w:rPr>
      </w:pPr>
      <w:r w:rsidRPr="00004E5B">
        <w:rPr>
          <w:sz w:val="22"/>
          <w:szCs w:val="22"/>
          <w:lang w:val="en-GB"/>
        </w:rPr>
        <w:t>At least 10 workers (construction, electrical and mechanical)</w:t>
      </w:r>
    </w:p>
    <w:p w14:paraId="2CBB6C6E" w14:textId="77777777" w:rsidR="00E17A51" w:rsidRDefault="00E17A51" w:rsidP="00E17A51">
      <w:r>
        <w:t xml:space="preserve">As a proof, the tenderer should attach proofs of engagement for key experts – Work contract / Service contract / Service contract on temporary and intermittent works agreement on business and/or technical cooperation/) that proofs that the expert will be engaged for this Contract. </w:t>
      </w:r>
    </w:p>
    <w:p w14:paraId="2D3B7986" w14:textId="77777777" w:rsidR="00E17A51" w:rsidRDefault="00E17A51" w:rsidP="00E17A51">
      <w:r>
        <w:t>The tendered must have the necessary technical capacity, i.e. machines, equipment, to prove that he can fulfil the works. If the tenderer hasn’t got the necessary equipment, he has to declare that he will hire it.</w:t>
      </w:r>
    </w:p>
    <w:p w14:paraId="5DB1E10B" w14:textId="77777777" w:rsidR="00E17A51" w:rsidRDefault="00E17A51" w:rsidP="00E17A51">
      <w:r>
        <w:t xml:space="preserve">The tenderer must satisfy standards related to quality management system, occupation of safety and environment.  </w:t>
      </w:r>
    </w:p>
    <w:p w14:paraId="0C135B42" w14:textId="77777777" w:rsidR="00E17A51" w:rsidRPr="00106520" w:rsidRDefault="00E17A51" w:rsidP="00E17A51">
      <w:pPr>
        <w:widowControl/>
        <w:numPr>
          <w:ilvl w:val="0"/>
          <w:numId w:val="26"/>
        </w:numPr>
        <w:spacing w:before="0" w:after="120"/>
        <w:jc w:val="both"/>
      </w:pPr>
      <w:r w:rsidRPr="00106520">
        <w:t>The bidder must have a valid permit from the competent authority for the performance of laboratory services or have concluded a contract with an accredited laboratory for which there is a valid Certificate of Accreditation issued by the Accreditation Body of Serbia, for the following tests:</w:t>
      </w:r>
    </w:p>
    <w:p w14:paraId="5DA0BAE8" w14:textId="77777777" w:rsidR="00E17A51" w:rsidRPr="00324304" w:rsidRDefault="00E17A51" w:rsidP="00E17A51">
      <w:pPr>
        <w:widowControl/>
        <w:numPr>
          <w:ilvl w:val="2"/>
          <w:numId w:val="26"/>
        </w:numPr>
        <w:spacing w:before="0" w:after="120"/>
        <w:jc w:val="both"/>
      </w:pPr>
      <w:r w:rsidRPr="00324304">
        <w:t>Determination of humidity of soil samples SRPS.U.B1.012;</w:t>
      </w:r>
    </w:p>
    <w:p w14:paraId="7A2F3E81" w14:textId="77777777" w:rsidR="00E17A51" w:rsidRPr="00324304" w:rsidRDefault="00E17A51" w:rsidP="00E17A51">
      <w:pPr>
        <w:widowControl/>
        <w:numPr>
          <w:ilvl w:val="2"/>
          <w:numId w:val="26"/>
        </w:numPr>
        <w:spacing w:before="0" w:after="120"/>
        <w:jc w:val="both"/>
      </w:pPr>
      <w:r w:rsidRPr="00324304">
        <w:t>Determination of the volumetric mass of soil material with pores by the method with a cylinder of known volume SRPS.U.B1.013</w:t>
      </w:r>
    </w:p>
    <w:p w14:paraId="017DCE1B" w14:textId="77777777" w:rsidR="00E17A51" w:rsidRPr="00324304" w:rsidRDefault="00E17A51" w:rsidP="00E17A51">
      <w:pPr>
        <w:widowControl/>
        <w:numPr>
          <w:ilvl w:val="2"/>
          <w:numId w:val="26"/>
        </w:numPr>
        <w:spacing w:before="0" w:after="120"/>
        <w:jc w:val="both"/>
      </w:pPr>
      <w:r w:rsidRPr="00324304">
        <w:t>Determination of granulometric composition SRPS.U.B1.018;</w:t>
      </w:r>
    </w:p>
    <w:p w14:paraId="5258A35F" w14:textId="77777777" w:rsidR="00E17A51" w:rsidRPr="00324304" w:rsidRDefault="00E17A51" w:rsidP="00E17A51">
      <w:pPr>
        <w:widowControl/>
        <w:numPr>
          <w:ilvl w:val="2"/>
          <w:numId w:val="26"/>
        </w:numPr>
        <w:spacing w:before="0" w:after="120"/>
        <w:jc w:val="both"/>
      </w:pPr>
      <w:r w:rsidRPr="00324304">
        <w:t>Determination of soil consistency - Atterberg limits SRPS.U.B1.020;</w:t>
      </w:r>
    </w:p>
    <w:p w14:paraId="2D804AE1" w14:textId="77777777" w:rsidR="00E17A51" w:rsidRPr="00324304" w:rsidRDefault="00E17A51" w:rsidP="00E17A51">
      <w:pPr>
        <w:widowControl/>
        <w:numPr>
          <w:ilvl w:val="2"/>
          <w:numId w:val="26"/>
        </w:numPr>
        <w:spacing w:before="0" w:after="120"/>
        <w:jc w:val="both"/>
      </w:pPr>
      <w:r w:rsidRPr="00324304">
        <w:t>Determining the ratio of humidity and dry volume of soil SRPS.U.B1.038;</w:t>
      </w:r>
    </w:p>
    <w:p w14:paraId="2DC5771A" w14:textId="77777777" w:rsidR="00E17A51" w:rsidRPr="00324304" w:rsidRDefault="00E17A51" w:rsidP="00E17A51">
      <w:pPr>
        <w:widowControl/>
        <w:numPr>
          <w:ilvl w:val="2"/>
          <w:numId w:val="26"/>
        </w:numPr>
        <w:spacing w:before="0" w:after="120"/>
        <w:jc w:val="both"/>
      </w:pPr>
      <w:r w:rsidRPr="00324304">
        <w:t>Laboratory determination of the California Load Index SRPS.U.B1.042</w:t>
      </w:r>
    </w:p>
    <w:p w14:paraId="0B76E05D" w14:textId="77777777" w:rsidR="00E17A51" w:rsidRPr="00324304" w:rsidRDefault="00E17A51" w:rsidP="00E17A51">
      <w:pPr>
        <w:widowControl/>
        <w:numPr>
          <w:ilvl w:val="2"/>
          <w:numId w:val="26"/>
        </w:numPr>
        <w:spacing w:before="0" w:after="120"/>
        <w:jc w:val="both"/>
      </w:pPr>
      <w:r w:rsidRPr="00324304">
        <w:t>Determination of the equivalent of sandy soils SRPS.UB1.040</w:t>
      </w:r>
    </w:p>
    <w:p w14:paraId="6A8A00F0" w14:textId="77777777" w:rsidR="00E17A51" w:rsidRPr="00324304" w:rsidRDefault="00E17A51" w:rsidP="00E17A51">
      <w:pPr>
        <w:widowControl/>
        <w:numPr>
          <w:ilvl w:val="2"/>
          <w:numId w:val="26"/>
        </w:numPr>
        <w:spacing w:before="0" w:after="120"/>
        <w:jc w:val="both"/>
      </w:pPr>
      <w:r w:rsidRPr="00324304">
        <w:t>Taking soil samples SRPS U.B1.010;</w:t>
      </w:r>
    </w:p>
    <w:p w14:paraId="67845C46" w14:textId="77777777" w:rsidR="00787720" w:rsidRDefault="00E17A51" w:rsidP="00787720">
      <w:pPr>
        <w:widowControl/>
        <w:numPr>
          <w:ilvl w:val="2"/>
          <w:numId w:val="26"/>
        </w:numPr>
        <w:spacing w:before="0" w:after="120"/>
        <w:jc w:val="both"/>
      </w:pPr>
      <w:r w:rsidRPr="00324304">
        <w:t>Determination of the California field bearing index SRPS U.B1.043:1997 (withdrawn) or ASTM D4429-09a</w:t>
      </w:r>
    </w:p>
    <w:p w14:paraId="1147A6B5" w14:textId="77777777" w:rsidR="00787720" w:rsidRDefault="00787720" w:rsidP="00787720">
      <w:pPr>
        <w:widowControl/>
        <w:spacing w:before="0" w:after="120"/>
        <w:ind w:left="2160"/>
        <w:jc w:val="both"/>
      </w:pPr>
    </w:p>
    <w:p w14:paraId="3CC8C903" w14:textId="06A448AA" w:rsidR="00787720" w:rsidRPr="00324304" w:rsidRDefault="00E17A51" w:rsidP="00787720">
      <w:pPr>
        <w:widowControl/>
        <w:numPr>
          <w:ilvl w:val="2"/>
          <w:numId w:val="26"/>
        </w:numPr>
        <w:spacing w:before="0" w:after="120"/>
        <w:jc w:val="both"/>
      </w:pPr>
      <w:r w:rsidRPr="00324304">
        <w:t>Determination of CBR by dynamic cone penetrometer ASTM D 6951/6951m-09</w:t>
      </w:r>
    </w:p>
    <w:p w14:paraId="2B66EDA0" w14:textId="77777777" w:rsidR="00E17A51" w:rsidRPr="00324304" w:rsidRDefault="00E17A51" w:rsidP="00E17A51">
      <w:pPr>
        <w:widowControl/>
        <w:numPr>
          <w:ilvl w:val="2"/>
          <w:numId w:val="26"/>
        </w:numPr>
        <w:spacing w:before="0" w:after="120"/>
        <w:jc w:val="both"/>
      </w:pPr>
      <w:r w:rsidRPr="00324304">
        <w:t>Direct shear test SRPS U.B1.028</w:t>
      </w:r>
    </w:p>
    <w:p w14:paraId="26B6D8F6" w14:textId="77777777" w:rsidR="00E17A51" w:rsidRPr="00324304" w:rsidRDefault="00E17A51" w:rsidP="00E17A51">
      <w:pPr>
        <w:widowControl/>
        <w:numPr>
          <w:ilvl w:val="2"/>
          <w:numId w:val="26"/>
        </w:numPr>
        <w:spacing w:before="0" w:after="120"/>
        <w:jc w:val="both"/>
      </w:pPr>
      <w:r w:rsidRPr="00324304">
        <w:t>Determination of the impact value of soil ASTM D5874-16:2016</w:t>
      </w:r>
    </w:p>
    <w:p w14:paraId="4FAE13EF" w14:textId="77777777" w:rsidR="00E17A51" w:rsidRPr="00324304" w:rsidRDefault="00E17A51" w:rsidP="00E17A51">
      <w:pPr>
        <w:widowControl/>
        <w:numPr>
          <w:ilvl w:val="2"/>
          <w:numId w:val="26"/>
        </w:numPr>
        <w:spacing w:before="0" w:after="120"/>
        <w:jc w:val="both"/>
      </w:pPr>
      <w:r w:rsidRPr="00324304">
        <w:t>Determination of shear strength by wing probe in saturated fine-grained soil ASTM D2573/D2573M-18:2018</w:t>
      </w:r>
    </w:p>
    <w:p w14:paraId="643F8500" w14:textId="77777777" w:rsidR="00E17A51" w:rsidRPr="00324304" w:rsidRDefault="00E17A51" w:rsidP="00E17A51">
      <w:pPr>
        <w:widowControl/>
        <w:numPr>
          <w:ilvl w:val="2"/>
          <w:numId w:val="26"/>
        </w:numPr>
        <w:spacing w:before="0" w:after="120"/>
        <w:jc w:val="both"/>
      </w:pPr>
      <w:r w:rsidRPr="00324304">
        <w:t xml:space="preserve">Products and systems for the protection and rehabilitation of concrete structures - Test methods - Determination of resistance to </w:t>
      </w:r>
      <w:proofErr w:type="spellStart"/>
      <w:r w:rsidRPr="00324304">
        <w:t>carbonitization</w:t>
      </w:r>
      <w:proofErr w:type="spellEnd"/>
      <w:r w:rsidRPr="00324304">
        <w:t xml:space="preserve"> SRPS EN 13295:2010</w:t>
      </w:r>
    </w:p>
    <w:p w14:paraId="73DE2E48" w14:textId="77777777" w:rsidR="00E17A51" w:rsidRPr="00324304" w:rsidRDefault="00E17A51" w:rsidP="00E17A51">
      <w:pPr>
        <w:widowControl/>
        <w:numPr>
          <w:ilvl w:val="2"/>
          <w:numId w:val="26"/>
        </w:numPr>
        <w:spacing w:before="0" w:after="120"/>
        <w:jc w:val="both"/>
      </w:pPr>
      <w:proofErr w:type="spellStart"/>
      <w:r w:rsidRPr="00324304">
        <w:t>Profoscope</w:t>
      </w:r>
      <w:proofErr w:type="spellEnd"/>
      <w:r w:rsidRPr="00324304">
        <w:t xml:space="preserve"> for detecting the position of depth and diameter of reinforcement BS 1881-204:1988</w:t>
      </w:r>
    </w:p>
    <w:p w14:paraId="2DA285D4" w14:textId="77777777" w:rsidR="00E17A51" w:rsidRPr="00324304" w:rsidRDefault="00E17A51" w:rsidP="00E17A51">
      <w:pPr>
        <w:widowControl/>
        <w:numPr>
          <w:ilvl w:val="2"/>
          <w:numId w:val="26"/>
        </w:numPr>
        <w:spacing w:before="0" w:after="120"/>
        <w:jc w:val="both"/>
      </w:pPr>
      <w:proofErr w:type="spellStart"/>
      <w:r w:rsidRPr="00324304">
        <w:t>Profometer</w:t>
      </w:r>
      <w:proofErr w:type="spellEnd"/>
      <w:r w:rsidRPr="00324304">
        <w:t xml:space="preserve"> - Method for detecting corrosion of concrete reinforcement ASTM C876-15:2015</w:t>
      </w:r>
    </w:p>
    <w:p w14:paraId="4EF4F1A7" w14:textId="77777777" w:rsidR="00E17A51" w:rsidRPr="00324304" w:rsidRDefault="00E17A51" w:rsidP="00E17A51">
      <w:pPr>
        <w:widowControl/>
        <w:numPr>
          <w:ilvl w:val="2"/>
          <w:numId w:val="26"/>
        </w:numPr>
        <w:spacing w:before="0" w:after="120"/>
        <w:jc w:val="both"/>
      </w:pPr>
      <w:r w:rsidRPr="00324304">
        <w:t>Determination of surface moisture in fine-grained aggregate ASTM C70-20:2020</w:t>
      </w:r>
    </w:p>
    <w:p w14:paraId="25E77321" w14:textId="77777777" w:rsidR="00E17A51" w:rsidRPr="00324304" w:rsidRDefault="00E17A51" w:rsidP="00E17A51">
      <w:pPr>
        <w:widowControl/>
        <w:numPr>
          <w:ilvl w:val="2"/>
          <w:numId w:val="26"/>
        </w:numPr>
        <w:spacing w:before="0" w:after="120"/>
        <w:jc w:val="both"/>
      </w:pPr>
      <w:r w:rsidRPr="00324304">
        <w:t>Geotechnical testing and research, Laboratory soil testing - Part 10 Direct shear testing SRPS CEN ISO/TS 17892-10</w:t>
      </w:r>
    </w:p>
    <w:p w14:paraId="3B387C33" w14:textId="77777777" w:rsidR="00E17A51" w:rsidRPr="00324304" w:rsidRDefault="00E17A51" w:rsidP="00E17A51">
      <w:pPr>
        <w:widowControl/>
        <w:numPr>
          <w:ilvl w:val="2"/>
          <w:numId w:val="26"/>
        </w:numPr>
        <w:spacing w:before="0" w:after="120"/>
        <w:jc w:val="both"/>
      </w:pPr>
      <w:r w:rsidRPr="00324304">
        <w:t>Determination of compressive strength of soil SRPS U.B.030</w:t>
      </w:r>
    </w:p>
    <w:p w14:paraId="010187BF" w14:textId="77777777" w:rsidR="00E17A51" w:rsidRPr="00324304" w:rsidRDefault="00E17A51" w:rsidP="00E17A51">
      <w:pPr>
        <w:widowControl/>
        <w:numPr>
          <w:ilvl w:val="2"/>
          <w:numId w:val="26"/>
        </w:numPr>
        <w:spacing w:before="0" w:after="120"/>
        <w:jc w:val="both"/>
      </w:pPr>
      <w:r w:rsidRPr="00324304">
        <w:t>Determination of soil compressibility SRPS U.B1.032</w:t>
      </w:r>
    </w:p>
    <w:p w14:paraId="32C16E59" w14:textId="77777777" w:rsidR="00E17A51" w:rsidRDefault="00E17A51" w:rsidP="00E17A51">
      <w:r w:rsidRPr="00106520">
        <w:t>This crite</w:t>
      </w:r>
      <w:r>
        <w:t xml:space="preserve">ria need to be </w:t>
      </w:r>
      <w:r w:rsidRPr="00106520">
        <w:t>proved by</w:t>
      </w:r>
      <w:r>
        <w:t xml:space="preserve"> p</w:t>
      </w:r>
      <w:r w:rsidRPr="00106520">
        <w:t>hotocopies of valid accreditation certificates issued by Accreditation body of Serbia</w:t>
      </w:r>
      <w:r>
        <w:t xml:space="preserve"> (</w:t>
      </w:r>
      <w:proofErr w:type="spellStart"/>
      <w:r>
        <w:t>Akreditaciono</w:t>
      </w:r>
      <w:proofErr w:type="spellEnd"/>
      <w:r>
        <w:t xml:space="preserve"> </w:t>
      </w:r>
      <w:proofErr w:type="spellStart"/>
      <w:r>
        <w:t>telo</w:t>
      </w:r>
      <w:proofErr w:type="spellEnd"/>
      <w:r>
        <w:t xml:space="preserve"> Srbije (</w:t>
      </w:r>
      <w:r w:rsidRPr="00106520">
        <w:t>ATS</w:t>
      </w:r>
      <w:r>
        <w:t>))</w:t>
      </w:r>
      <w:r w:rsidRPr="00106520">
        <w:t xml:space="preserve"> or any other country with the required scope of accreditation for the above tests, if a contract has been concluded with an accredited laboratory (submit a copy of the contract).</w:t>
      </w:r>
    </w:p>
    <w:p w14:paraId="7C5371EB" w14:textId="563306F3" w:rsidR="00FE4894" w:rsidRDefault="00E04B6B" w:rsidP="00FE4894">
      <w:pPr>
        <w:pStyle w:val="Blockquote"/>
        <w:ind w:left="0" w:right="357"/>
        <w:jc w:val="both"/>
        <w:rPr>
          <w:sz w:val="22"/>
          <w:szCs w:val="22"/>
          <w:lang w:val="en-GB"/>
        </w:rPr>
      </w:pP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taken into account will be the </w:t>
      </w:r>
      <w:r w:rsidR="00FE4894" w:rsidRPr="00FE4894">
        <w:rPr>
          <w:sz w:val="22"/>
          <w:szCs w:val="22"/>
          <w:lang w:val="en-GB"/>
        </w:rPr>
        <w:t xml:space="preserve">(December 2021 – December 2024). </w:t>
      </w:r>
    </w:p>
    <w:p w14:paraId="1F4A68D1" w14:textId="054CF861" w:rsidR="00FE4894" w:rsidRPr="00FE4894" w:rsidRDefault="00FE4894" w:rsidP="00FE4894">
      <w:pPr>
        <w:pStyle w:val="Blockquote"/>
        <w:numPr>
          <w:ilvl w:val="0"/>
          <w:numId w:val="25"/>
        </w:numPr>
        <w:ind w:right="357"/>
        <w:jc w:val="both"/>
        <w:rPr>
          <w:sz w:val="22"/>
          <w:szCs w:val="22"/>
        </w:rPr>
      </w:pPr>
      <w:r w:rsidRPr="00FE4894">
        <w:rPr>
          <w:sz w:val="22"/>
          <w:szCs w:val="22"/>
        </w:rPr>
        <w:t>it must have completed at least one (1) project of the same nature/amount/complexity as the works concerned by the tender and implemented during the following period: 3 years from the submission deadline (December 2021 – December 2024). The contracting authority reserves the right to ask for copies of certificates of final acceptance signed by the supervisors/contracting authority of the projects concerned.</w:t>
      </w:r>
    </w:p>
    <w:p w14:paraId="2BCB12B9" w14:textId="47D87B04" w:rsidR="00876CC8" w:rsidRDefault="00876CC8" w:rsidP="00FE4894">
      <w:pPr>
        <w:pStyle w:val="Blockquote"/>
        <w:tabs>
          <w:tab w:val="left" w:pos="284"/>
        </w:tabs>
        <w:ind w:left="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36381D5E" w14:textId="77777777" w:rsidR="00787720" w:rsidRDefault="00787720" w:rsidP="00FE4894">
      <w:pPr>
        <w:pStyle w:val="Blockquote"/>
        <w:tabs>
          <w:tab w:val="left" w:pos="284"/>
        </w:tabs>
        <w:ind w:left="0" w:right="26"/>
        <w:jc w:val="both"/>
        <w:rPr>
          <w:sz w:val="22"/>
          <w:szCs w:val="22"/>
          <w:lang w:val="en-GB"/>
        </w:rPr>
      </w:pPr>
    </w:p>
    <w:p w14:paraId="16CAA9A0" w14:textId="77777777" w:rsidR="00787720" w:rsidRDefault="00787720" w:rsidP="00FE4894">
      <w:pPr>
        <w:pStyle w:val="Blockquote"/>
        <w:tabs>
          <w:tab w:val="left" w:pos="284"/>
        </w:tabs>
        <w:ind w:left="0" w:right="26"/>
        <w:jc w:val="both"/>
        <w:rPr>
          <w:sz w:val="22"/>
          <w:szCs w:val="22"/>
          <w:lang w:val="en-GB"/>
        </w:rPr>
      </w:pPr>
    </w:p>
    <w:p w14:paraId="08276029" w14:textId="77777777" w:rsidR="00787720" w:rsidRDefault="00787720" w:rsidP="00FE4894">
      <w:pPr>
        <w:pStyle w:val="Blockquote"/>
        <w:tabs>
          <w:tab w:val="left" w:pos="284"/>
        </w:tabs>
        <w:ind w:left="0" w:right="26"/>
        <w:jc w:val="both"/>
        <w:rPr>
          <w:sz w:val="22"/>
          <w:szCs w:val="22"/>
          <w:lang w:val="en-GB"/>
        </w:rPr>
      </w:pPr>
    </w:p>
    <w:p w14:paraId="779189B0" w14:textId="77777777" w:rsidR="00AA22A5" w:rsidRPr="00FE4894" w:rsidRDefault="00AA22A5" w:rsidP="005B6500">
      <w:pPr>
        <w:pStyle w:val="PRAGHeading2"/>
        <w:ind w:left="426" w:hanging="426"/>
        <w:rPr>
          <w:rStyle w:val="Strong"/>
          <w:sz w:val="22"/>
          <w:szCs w:val="22"/>
          <w:lang w:val="en-GB"/>
        </w:rPr>
      </w:pPr>
      <w:r w:rsidRPr="00FE4894">
        <w:rPr>
          <w:rStyle w:val="Strong"/>
          <w:sz w:val="22"/>
          <w:szCs w:val="22"/>
          <w:lang w:val="en-GB"/>
        </w:rPr>
        <w:t>Award criteria</w:t>
      </w:r>
    </w:p>
    <w:p w14:paraId="52664DD1" w14:textId="7666AF70" w:rsidR="00FE4894" w:rsidRDefault="00FE4894" w:rsidP="00FE4894">
      <w:pPr>
        <w:pStyle w:val="Blockquote"/>
        <w:ind w:left="0"/>
        <w:jc w:val="both"/>
        <w:rPr>
          <w:sz w:val="22"/>
          <w:szCs w:val="22"/>
        </w:rPr>
      </w:pPr>
      <w:r w:rsidRPr="00FE4894">
        <w:rPr>
          <w:sz w:val="22"/>
          <w:szCs w:val="22"/>
        </w:rPr>
        <w:t>The most economically advantageous tender is the technically compliant tender with the lowest price.</w:t>
      </w:r>
    </w:p>
    <w:p w14:paraId="2B7B7790" w14:textId="77777777" w:rsidR="00F37C7C" w:rsidRDefault="00F37C7C" w:rsidP="00F37C7C">
      <w:pPr>
        <w:pStyle w:val="PRAGHeading2"/>
        <w:numPr>
          <w:ilvl w:val="0"/>
          <w:numId w:val="0"/>
        </w:numPr>
        <w:spacing w:after="240"/>
        <w:ind w:left="284"/>
        <w:jc w:val="center"/>
        <w:rPr>
          <w:rStyle w:val="Strong"/>
          <w:sz w:val="22"/>
          <w:szCs w:val="22"/>
          <w:lang w:val="en-GB"/>
        </w:rPr>
      </w:pPr>
      <w:r>
        <w:rPr>
          <w:rStyle w:val="Strong"/>
          <w:sz w:val="22"/>
          <w:szCs w:val="22"/>
          <w:lang w:val="en-GB"/>
        </w:rPr>
        <w:t>APPLICATION AND TENDERING</w:t>
      </w:r>
    </w:p>
    <w:p w14:paraId="3AA6A8C7" w14:textId="77777777" w:rsidR="00F37C7C" w:rsidRPr="005D1026" w:rsidRDefault="00F37C7C" w:rsidP="00F37C7C">
      <w:pPr>
        <w:pStyle w:val="PRAGHeading2"/>
        <w:ind w:left="426" w:hanging="426"/>
        <w:jc w:val="both"/>
        <w:rPr>
          <w:rStyle w:val="Strong"/>
          <w:sz w:val="22"/>
          <w:szCs w:val="22"/>
          <w:lang w:val="en-GB"/>
        </w:rPr>
      </w:pPr>
      <w:r w:rsidRPr="005D1026">
        <w:rPr>
          <w:rStyle w:val="Strong"/>
          <w:sz w:val="22"/>
          <w:szCs w:val="22"/>
          <w:lang w:val="en-GB"/>
        </w:rPr>
        <w:t>How to obtain the tender dossier</w:t>
      </w:r>
    </w:p>
    <w:p w14:paraId="1FC05436" w14:textId="198F62EF" w:rsidR="00F37C7C" w:rsidRDefault="00F37C7C" w:rsidP="00F37C7C">
      <w:pPr>
        <w:pStyle w:val="Blockquote"/>
        <w:ind w:left="426" w:right="-48"/>
        <w:jc w:val="both"/>
        <w:rPr>
          <w:sz w:val="22"/>
          <w:szCs w:val="22"/>
          <w:lang w:val="en-GB"/>
        </w:rPr>
      </w:pPr>
      <w:r w:rsidRPr="005D1026">
        <w:rPr>
          <w:sz w:val="22"/>
          <w:szCs w:val="22"/>
          <w:lang w:val="en-GB"/>
        </w:rPr>
        <w:t>The tender dossier is available from the official website of the Contracting Authority</w:t>
      </w:r>
      <w:r>
        <w:rPr>
          <w:sz w:val="22"/>
          <w:szCs w:val="22"/>
          <w:lang w:val="en-GB"/>
        </w:rPr>
        <w:t xml:space="preserve"> </w:t>
      </w:r>
      <w:r w:rsidRPr="00F37C7C">
        <w:rPr>
          <w:sz w:val="22"/>
          <w:szCs w:val="22"/>
          <w:lang w:val="en-GB"/>
        </w:rPr>
        <w:t xml:space="preserve">(Faculty of agriculture) </w:t>
      </w:r>
      <w:hyperlink r:id="rId8" w:history="1">
        <w:r w:rsidRPr="008F6B9C">
          <w:rPr>
            <w:rStyle w:val="Hyperlink"/>
            <w:sz w:val="22"/>
            <w:szCs w:val="22"/>
            <w:lang w:val="en-GB"/>
          </w:rPr>
          <w:t>www.polj.uns.ac.rs</w:t>
        </w:r>
      </w:hyperlink>
      <w:r w:rsidRPr="00F37C7C">
        <w:rPr>
          <w:sz w:val="22"/>
          <w:szCs w:val="22"/>
          <w:lang w:val="en-GB"/>
        </w:rPr>
        <w:t>,</w:t>
      </w:r>
      <w:r>
        <w:rPr>
          <w:sz w:val="22"/>
          <w:szCs w:val="22"/>
          <w:lang w:val="en-GB"/>
        </w:rPr>
        <w:t xml:space="preserve"> </w:t>
      </w:r>
      <w:r w:rsidRPr="00F37C7C">
        <w:rPr>
          <w:sz w:val="22"/>
          <w:szCs w:val="22"/>
          <w:lang w:val="en-GB"/>
        </w:rPr>
        <w:t>as well as on the official website of the Interreg IPA CBC Programme Croatia – Serbia –</w:t>
      </w:r>
      <w:hyperlink r:id="rId9" w:history="1">
        <w:r w:rsidR="00EF76E6" w:rsidRPr="00DB68A6">
          <w:rPr>
            <w:rStyle w:val="Hyperlink"/>
          </w:rPr>
          <w:t>www.</w:t>
        </w:r>
        <w:r w:rsidR="00EF76E6" w:rsidRPr="00DB68A6">
          <w:rPr>
            <w:rStyle w:val="Hyperlink"/>
            <w:sz w:val="22"/>
            <w:szCs w:val="22"/>
          </w:rPr>
          <w:t>interreg-croatia-serbia.eu/</w:t>
        </w:r>
      </w:hyperlink>
    </w:p>
    <w:p w14:paraId="3D4A160B" w14:textId="3E185F28" w:rsidR="00F37C7C" w:rsidRPr="00F37C7C" w:rsidRDefault="00F37C7C" w:rsidP="00F37C7C">
      <w:pPr>
        <w:pStyle w:val="Blockquote"/>
        <w:ind w:left="426" w:right="-48"/>
        <w:jc w:val="both"/>
        <w:rPr>
          <w:sz w:val="22"/>
          <w:szCs w:val="22"/>
          <w:lang w:val="en-GB"/>
        </w:rPr>
      </w:pPr>
      <w:r w:rsidRPr="00F37C7C">
        <w:rPr>
          <w:sz w:val="22"/>
          <w:szCs w:val="22"/>
          <w:lang w:val="en-GB"/>
        </w:rPr>
        <w:t>Tenders must be submitted using the standard tender form included in the tender dossier, whose format and instructions must be strictly observed.</w:t>
      </w:r>
    </w:p>
    <w:p w14:paraId="31BF2089" w14:textId="6F74F0CF" w:rsidR="00E17A51" w:rsidRDefault="00F37C7C" w:rsidP="00E17A51">
      <w:pPr>
        <w:pStyle w:val="Heading3"/>
        <w:ind w:left="426"/>
        <w:jc w:val="both"/>
        <w:rPr>
          <w:b/>
          <w:bCs/>
          <w:sz w:val="22"/>
          <w:lang w:val="en-GB"/>
        </w:rPr>
      </w:pPr>
      <w:r w:rsidRPr="00F37C7C">
        <w:rPr>
          <w:rFonts w:ascii="Times New Roman" w:hAnsi="Times New Roman" w:cs="Times New Roman"/>
          <w:color w:val="auto"/>
          <w:sz w:val="22"/>
          <w:szCs w:val="22"/>
          <w:lang w:val="en-GB"/>
        </w:rPr>
        <w:t xml:space="preserve">Any request for additional information must be made </w:t>
      </w:r>
      <w:r w:rsidRPr="00F37C7C">
        <w:rPr>
          <w:rFonts w:ascii="Times New Roman" w:eastAsia="Times New Roman" w:hAnsi="Times New Roman" w:cs="Times New Roman"/>
          <w:snapToGrid/>
          <w:color w:val="auto"/>
          <w:sz w:val="22"/>
          <w:szCs w:val="22"/>
          <w:lang w:val="en-GB"/>
        </w:rPr>
        <w:t>in writing up to 21 days before the deadline for submission of tenders, specifying the publication reference and the contract title:</w:t>
      </w:r>
      <w:bookmarkStart w:id="1" w:name="_Hlk177648632"/>
    </w:p>
    <w:p w14:paraId="264B4889" w14:textId="1E54AEB5" w:rsidR="00F37C7C" w:rsidRPr="00F37C7C" w:rsidRDefault="00F37C7C" w:rsidP="00F37C7C">
      <w:pPr>
        <w:widowControl/>
        <w:spacing w:before="0" w:after="120"/>
        <w:ind w:left="567"/>
        <w:jc w:val="center"/>
        <w:rPr>
          <w:b/>
          <w:bCs/>
          <w:sz w:val="22"/>
          <w:lang w:val="en-GB"/>
        </w:rPr>
      </w:pPr>
      <w:r w:rsidRPr="00F37C7C">
        <w:rPr>
          <w:b/>
          <w:bCs/>
          <w:sz w:val="22"/>
          <w:lang w:val="en-GB"/>
        </w:rPr>
        <w:t>UNIVERSITY OF NOVI SAD / FACULTY OF AGRICULTURE</w:t>
      </w:r>
    </w:p>
    <w:p w14:paraId="43678B76" w14:textId="25860661" w:rsidR="00F37C7C" w:rsidRPr="00F37C7C" w:rsidRDefault="00F37C7C" w:rsidP="00F37C7C">
      <w:pPr>
        <w:widowControl/>
        <w:spacing w:before="0" w:after="120"/>
        <w:ind w:left="567"/>
        <w:jc w:val="center"/>
        <w:rPr>
          <w:sz w:val="22"/>
          <w:lang w:val="en-GB"/>
        </w:rPr>
      </w:pPr>
      <w:proofErr w:type="spellStart"/>
      <w:r w:rsidRPr="00F37C7C">
        <w:rPr>
          <w:sz w:val="22"/>
          <w:lang w:val="en-GB"/>
        </w:rPr>
        <w:t>Trg</w:t>
      </w:r>
      <w:proofErr w:type="spellEnd"/>
      <w:r w:rsidRPr="00F37C7C">
        <w:rPr>
          <w:sz w:val="22"/>
          <w:lang w:val="en-GB"/>
        </w:rPr>
        <w:t xml:space="preserve"> </w:t>
      </w:r>
      <w:proofErr w:type="spellStart"/>
      <w:r w:rsidRPr="00F37C7C">
        <w:rPr>
          <w:sz w:val="22"/>
          <w:lang w:val="en-GB"/>
        </w:rPr>
        <w:t>Dositeja</w:t>
      </w:r>
      <w:proofErr w:type="spellEnd"/>
      <w:r w:rsidRPr="00F37C7C">
        <w:rPr>
          <w:sz w:val="22"/>
          <w:lang w:val="en-GB"/>
        </w:rPr>
        <w:t xml:space="preserve"> </w:t>
      </w:r>
      <w:proofErr w:type="spellStart"/>
      <w:r w:rsidRPr="00F37C7C">
        <w:rPr>
          <w:sz w:val="22"/>
          <w:lang w:val="en-GB"/>
        </w:rPr>
        <w:t>Obradovica</w:t>
      </w:r>
      <w:proofErr w:type="spellEnd"/>
      <w:r w:rsidRPr="00F37C7C">
        <w:rPr>
          <w:sz w:val="22"/>
          <w:lang w:val="en-GB"/>
        </w:rPr>
        <w:t xml:space="preserve"> no.8</w:t>
      </w:r>
      <w:r>
        <w:rPr>
          <w:sz w:val="22"/>
          <w:lang w:val="en-GB"/>
        </w:rPr>
        <w:t xml:space="preserve">, </w:t>
      </w:r>
      <w:r w:rsidRPr="00F37C7C">
        <w:rPr>
          <w:sz w:val="22"/>
          <w:lang w:val="en-GB"/>
        </w:rPr>
        <w:t>21000 Novi Sad</w:t>
      </w:r>
    </w:p>
    <w:p w14:paraId="765E126B" w14:textId="77777777" w:rsidR="00F37C7C" w:rsidRPr="00F37C7C" w:rsidRDefault="00F37C7C" w:rsidP="00F37C7C">
      <w:pPr>
        <w:widowControl/>
        <w:spacing w:before="0" w:after="120"/>
        <w:ind w:left="567"/>
        <w:jc w:val="center"/>
        <w:rPr>
          <w:sz w:val="22"/>
          <w:lang w:val="en-GB"/>
        </w:rPr>
      </w:pPr>
      <w:r w:rsidRPr="00F37C7C">
        <w:rPr>
          <w:sz w:val="22"/>
          <w:lang w:val="en-GB"/>
        </w:rPr>
        <w:t>Contact person: Dragoslav Ivanisevic</w:t>
      </w:r>
    </w:p>
    <w:p w14:paraId="22F6A824" w14:textId="1120B973" w:rsidR="00F37C7C" w:rsidRPr="00F37C7C" w:rsidRDefault="00F37C7C" w:rsidP="00F37C7C">
      <w:pPr>
        <w:widowControl/>
        <w:spacing w:before="0" w:after="120"/>
        <w:ind w:left="567"/>
        <w:jc w:val="center"/>
        <w:rPr>
          <w:sz w:val="22"/>
          <w:lang w:val="en-GB"/>
        </w:rPr>
      </w:pPr>
      <w:r w:rsidRPr="00E17A51">
        <w:rPr>
          <w:sz w:val="22"/>
          <w:lang w:val="en-GB"/>
        </w:rPr>
        <w:t>Email:</w:t>
      </w:r>
      <w:r w:rsidR="00E17A51" w:rsidRPr="00E17A51">
        <w:t xml:space="preserve"> </w:t>
      </w:r>
      <w:hyperlink r:id="rId10" w:history="1">
        <w:r w:rsidR="00E17A51" w:rsidRPr="00B47491">
          <w:rPr>
            <w:rStyle w:val="Hyperlink"/>
            <w:sz w:val="22"/>
            <w:lang w:val="en-GB"/>
          </w:rPr>
          <w:t>mirjana.railic@polj.edu.rs</w:t>
        </w:r>
      </w:hyperlink>
      <w:r w:rsidR="00E17A51">
        <w:rPr>
          <w:sz w:val="22"/>
          <w:lang w:val="en-GB"/>
        </w:rPr>
        <w:t xml:space="preserve"> </w:t>
      </w:r>
    </w:p>
    <w:bookmarkEnd w:id="1"/>
    <w:p w14:paraId="5D647C48" w14:textId="77777777" w:rsidR="00F37C7C" w:rsidRPr="005D1026" w:rsidRDefault="00F37C7C" w:rsidP="00F37C7C">
      <w:pPr>
        <w:pStyle w:val="Blockquote"/>
        <w:ind w:left="426" w:right="-48"/>
        <w:jc w:val="both"/>
        <w:rPr>
          <w:sz w:val="22"/>
          <w:szCs w:val="22"/>
          <w:lang w:val="en-GB"/>
        </w:rPr>
      </w:pPr>
      <w:r w:rsidRPr="005D1026">
        <w:rPr>
          <w:sz w:val="22"/>
          <w:szCs w:val="22"/>
          <w:lang w:val="en-GB"/>
        </w:rPr>
        <w:t>The Contracting Authority has no obligation to provide additional information after this date.</w:t>
      </w:r>
    </w:p>
    <w:p w14:paraId="7D5290F6" w14:textId="44D02AA2" w:rsidR="00F37C7C" w:rsidRPr="005D1026" w:rsidRDefault="00F37C7C" w:rsidP="00F37C7C">
      <w:pPr>
        <w:pStyle w:val="Blockquote"/>
        <w:ind w:left="426" w:right="-48"/>
        <w:jc w:val="both"/>
      </w:pPr>
      <w:r w:rsidRPr="005D1026">
        <w:rPr>
          <w:sz w:val="22"/>
          <w:szCs w:val="22"/>
          <w:lang w:val="en-GB"/>
        </w:rPr>
        <w:t xml:space="preserve">The contracting authority must reply to all tenderers’ questions at least 11 days before the deadline for receipt of tenders.  </w:t>
      </w:r>
    </w:p>
    <w:p w14:paraId="6390167D" w14:textId="77777777" w:rsidR="00F37C7C" w:rsidRPr="005D1026" w:rsidRDefault="00F37C7C" w:rsidP="00F37C7C">
      <w:pPr>
        <w:pStyle w:val="PRAGHeading2"/>
        <w:ind w:left="426" w:hanging="426"/>
        <w:rPr>
          <w:rStyle w:val="Strong"/>
          <w:sz w:val="22"/>
          <w:szCs w:val="22"/>
          <w:lang w:val="en-GB"/>
        </w:rPr>
      </w:pPr>
      <w:r w:rsidRPr="005D1026">
        <w:rPr>
          <w:rStyle w:val="Strong"/>
          <w:sz w:val="22"/>
          <w:szCs w:val="22"/>
          <w:lang w:val="en-GB"/>
        </w:rPr>
        <w:t>Tender opening session</w:t>
      </w:r>
    </w:p>
    <w:p w14:paraId="29BBB39F" w14:textId="3C298C74" w:rsidR="00F37C7C" w:rsidRPr="00F37C7C" w:rsidRDefault="00F37C7C" w:rsidP="00F37C7C">
      <w:pPr>
        <w:pStyle w:val="PRAGHeading2"/>
        <w:numPr>
          <w:ilvl w:val="0"/>
          <w:numId w:val="0"/>
        </w:numPr>
        <w:ind w:left="426"/>
        <w:rPr>
          <w:sz w:val="22"/>
          <w:szCs w:val="22"/>
          <w:lang w:val="en-GB"/>
        </w:rPr>
      </w:pPr>
      <w:r w:rsidRPr="00F37C7C">
        <w:rPr>
          <w:sz w:val="22"/>
          <w:szCs w:val="22"/>
        </w:rPr>
        <w:t xml:space="preserve">December </w:t>
      </w:r>
      <w:r w:rsidR="007860A4">
        <w:rPr>
          <w:sz w:val="22"/>
          <w:szCs w:val="22"/>
        </w:rPr>
        <w:t>9</w:t>
      </w:r>
      <w:r w:rsidRPr="00F37C7C">
        <w:rPr>
          <w:sz w:val="22"/>
          <w:szCs w:val="22"/>
        </w:rPr>
        <w:t>, 2024 a</w:t>
      </w:r>
      <w:r w:rsidRPr="00F37C7C">
        <w:rPr>
          <w:sz w:val="22"/>
          <w:szCs w:val="22"/>
          <w:lang w:val="en-GB"/>
        </w:rPr>
        <w:t>t 12.00.</w:t>
      </w:r>
    </w:p>
    <w:p w14:paraId="20E6980E" w14:textId="77777777" w:rsidR="00F37C7C" w:rsidRDefault="00F37C7C" w:rsidP="00F37C7C">
      <w:pPr>
        <w:pStyle w:val="PRAGHeading2"/>
        <w:numPr>
          <w:ilvl w:val="0"/>
          <w:numId w:val="0"/>
        </w:numPr>
        <w:ind w:left="426"/>
        <w:jc w:val="both"/>
        <w:rPr>
          <w:sz w:val="22"/>
          <w:lang w:val="en-GB"/>
        </w:rPr>
      </w:pPr>
      <w:r w:rsidRPr="00F37C7C">
        <w:rPr>
          <w:sz w:val="22"/>
          <w:szCs w:val="22"/>
          <w:lang w:val="en-GB"/>
        </w:rPr>
        <w:t>The opening session should be held at least o</w:t>
      </w:r>
      <w:r w:rsidRPr="00567F2E">
        <w:rPr>
          <w:sz w:val="22"/>
          <w:szCs w:val="22"/>
          <w:lang w:val="en-GB"/>
        </w:rPr>
        <w:t xml:space="preserve">ne week after the deadline for submission of tenders. </w:t>
      </w:r>
      <w:r w:rsidRPr="00567F2E">
        <w:rPr>
          <w:sz w:val="22"/>
          <w:lang w:val="en-GB"/>
        </w:rPr>
        <w:t xml:space="preserve">In the case that at the date of the opening session </w:t>
      </w:r>
      <w:r w:rsidRPr="00567F2E">
        <w:rPr>
          <w:sz w:val="22"/>
          <w:lang w:val="en-IE"/>
        </w:rPr>
        <w:t>some tenders have not been delivered to the contracting authority</w:t>
      </w:r>
      <w:r w:rsidRPr="00567F2E">
        <w:rPr>
          <w:sz w:val="22"/>
          <w:lang w:val="en-GB"/>
        </w:rPr>
        <w:t xml:space="preserve"> but their representatives can show evidence that they have been sent on time, </w:t>
      </w:r>
      <w:r w:rsidRPr="00567F2E">
        <w:rPr>
          <w:sz w:val="22"/>
          <w:lang w:val="en-IE"/>
        </w:rPr>
        <w:t>the contracting authority will</w:t>
      </w:r>
      <w:r w:rsidRPr="00567F2E">
        <w:rPr>
          <w:sz w:val="22"/>
          <w:lang w:val="en-GB"/>
        </w:rPr>
        <w:t xml:space="preserve"> allow them to participate in the first opening session and inform all representatives of the tenderers that a second opening session will be organised.</w:t>
      </w:r>
    </w:p>
    <w:p w14:paraId="20687373" w14:textId="77777777" w:rsidR="00F37C7C" w:rsidRPr="005D1026" w:rsidRDefault="00F37C7C" w:rsidP="00F37C7C">
      <w:pPr>
        <w:pStyle w:val="PRAGHeading2"/>
        <w:tabs>
          <w:tab w:val="clear" w:pos="567"/>
          <w:tab w:val="num" w:pos="426"/>
        </w:tabs>
        <w:ind w:left="0"/>
        <w:rPr>
          <w:rStyle w:val="Strong"/>
          <w:b w:val="0"/>
          <w:sz w:val="22"/>
          <w:szCs w:val="22"/>
          <w:lang w:val="en-GB"/>
        </w:rPr>
      </w:pPr>
      <w:r w:rsidRPr="005D1026">
        <w:rPr>
          <w:rStyle w:val="Strong"/>
          <w:sz w:val="22"/>
          <w:szCs w:val="22"/>
          <w:lang w:val="en-GB"/>
        </w:rPr>
        <w:t xml:space="preserve">Applications format and details to be provided </w:t>
      </w:r>
    </w:p>
    <w:p w14:paraId="6221B55A" w14:textId="77777777" w:rsidR="00F37C7C" w:rsidRPr="005D1026" w:rsidRDefault="00F37C7C" w:rsidP="00F37C7C">
      <w:pPr>
        <w:pStyle w:val="PRAGHeading2"/>
        <w:numPr>
          <w:ilvl w:val="0"/>
          <w:numId w:val="0"/>
        </w:numPr>
        <w:tabs>
          <w:tab w:val="num" w:pos="426"/>
        </w:tabs>
        <w:ind w:left="426"/>
        <w:rPr>
          <w:sz w:val="22"/>
          <w:szCs w:val="22"/>
          <w:lang w:val="en-GB"/>
        </w:rPr>
      </w:pPr>
      <w:r w:rsidRPr="005D1026">
        <w:rPr>
          <w:sz w:val="22"/>
          <w:szCs w:val="22"/>
          <w:lang w:val="en-GB"/>
        </w:rPr>
        <w:t xml:space="preserve">Applications must be submitted using the standard application form, the format and instructions of which must be strictly observed. The application form is available from the following Internet address: </w:t>
      </w:r>
    </w:p>
    <w:p w14:paraId="42372ED6" w14:textId="77777777" w:rsidR="00F37C7C" w:rsidRPr="005D1026" w:rsidRDefault="00000000" w:rsidP="00F37C7C">
      <w:pPr>
        <w:pStyle w:val="PRAGHeading2"/>
        <w:numPr>
          <w:ilvl w:val="0"/>
          <w:numId w:val="0"/>
        </w:numPr>
        <w:tabs>
          <w:tab w:val="num" w:pos="426"/>
        </w:tabs>
        <w:ind w:left="426"/>
        <w:rPr>
          <w:sz w:val="22"/>
          <w:szCs w:val="22"/>
          <w:lang w:val="en-GB"/>
        </w:rPr>
      </w:pPr>
      <w:hyperlink r:id="rId11" w:history="1">
        <w:r w:rsidR="00F37C7C" w:rsidRPr="005D1026">
          <w:rPr>
            <w:rStyle w:val="Hyperlink"/>
            <w:sz w:val="22"/>
            <w:szCs w:val="22"/>
            <w:lang w:val="en-GB"/>
          </w:rPr>
          <w:t>https://ec.europa.eu/europeaid/prag/document.do?isAnnexes=true</w:t>
        </w:r>
      </w:hyperlink>
      <w:r w:rsidR="00F37C7C" w:rsidRPr="005D1026">
        <w:rPr>
          <w:sz w:val="22"/>
          <w:szCs w:val="22"/>
          <w:lang w:val="en-GB"/>
        </w:rPr>
        <w:t xml:space="preserve"> </w:t>
      </w:r>
    </w:p>
    <w:p w14:paraId="5A0CAC38" w14:textId="77777777" w:rsidR="00F37C7C" w:rsidRPr="005D1026" w:rsidRDefault="00F37C7C" w:rsidP="00F37C7C">
      <w:pPr>
        <w:pStyle w:val="Blockquote"/>
        <w:tabs>
          <w:tab w:val="num" w:pos="426"/>
        </w:tabs>
        <w:ind w:left="426" w:right="-48"/>
        <w:jc w:val="both"/>
        <w:rPr>
          <w:sz w:val="22"/>
          <w:szCs w:val="22"/>
          <w:lang w:val="en-GB"/>
        </w:rPr>
      </w:pPr>
      <w:r w:rsidRPr="005D1026">
        <w:rPr>
          <w:sz w:val="22"/>
          <w:szCs w:val="22"/>
          <w:lang w:val="en-GB"/>
        </w:rPr>
        <w:t>The application must be accompanied by a declaration on honour on exclusion and selection criteria using the template available from the following Internet address:</w:t>
      </w:r>
    </w:p>
    <w:p w14:paraId="3337D070" w14:textId="77777777" w:rsidR="00F37C7C" w:rsidRPr="005D1026" w:rsidRDefault="00000000" w:rsidP="00F37C7C">
      <w:pPr>
        <w:pStyle w:val="PRAGHeading2"/>
        <w:numPr>
          <w:ilvl w:val="0"/>
          <w:numId w:val="0"/>
        </w:numPr>
        <w:tabs>
          <w:tab w:val="num" w:pos="426"/>
        </w:tabs>
        <w:ind w:left="426"/>
        <w:jc w:val="both"/>
        <w:rPr>
          <w:sz w:val="22"/>
          <w:szCs w:val="22"/>
          <w:lang w:val="en-US"/>
        </w:rPr>
      </w:pPr>
      <w:hyperlink r:id="rId12" w:history="1">
        <w:r w:rsidR="00F37C7C" w:rsidRPr="005D1026">
          <w:rPr>
            <w:rStyle w:val="Hyperlink"/>
            <w:sz w:val="22"/>
            <w:szCs w:val="22"/>
            <w:lang w:val="en-US"/>
          </w:rPr>
          <w:t>https://ec.europa.eu/europeaid/prag/document.do?isAnnexes=true</w:t>
        </w:r>
      </w:hyperlink>
    </w:p>
    <w:p w14:paraId="7F442855" w14:textId="77777777" w:rsidR="00F37C7C" w:rsidRPr="005D1026" w:rsidRDefault="00F37C7C" w:rsidP="00F37C7C">
      <w:pPr>
        <w:pStyle w:val="PRAGHeading2"/>
        <w:numPr>
          <w:ilvl w:val="0"/>
          <w:numId w:val="0"/>
        </w:numPr>
        <w:tabs>
          <w:tab w:val="num" w:pos="426"/>
        </w:tabs>
        <w:ind w:left="426"/>
        <w:jc w:val="both"/>
        <w:rPr>
          <w:sz w:val="22"/>
          <w:szCs w:val="22"/>
          <w:lang w:val="en-GB"/>
        </w:rPr>
      </w:pPr>
      <w:r w:rsidRPr="005D1026">
        <w:rPr>
          <w:sz w:val="22"/>
          <w:szCs w:val="22"/>
          <w:lang w:val="en-GB"/>
        </w:rPr>
        <w:t xml:space="preserve">Any documentation (brochure, letter, etc.) sent with an application in addition to what has been requested will not be taken into consideration. </w:t>
      </w:r>
    </w:p>
    <w:p w14:paraId="74CC484D" w14:textId="77777777" w:rsidR="00F37C7C" w:rsidRPr="005D1026" w:rsidRDefault="00F37C7C" w:rsidP="00F37C7C">
      <w:pPr>
        <w:pStyle w:val="PRAGHeading2"/>
        <w:ind w:left="426" w:hanging="426"/>
        <w:jc w:val="both"/>
        <w:rPr>
          <w:rStyle w:val="Strong"/>
          <w:sz w:val="22"/>
          <w:szCs w:val="22"/>
          <w:lang w:val="en-GB"/>
        </w:rPr>
      </w:pPr>
      <w:r w:rsidRPr="005D1026">
        <w:rPr>
          <w:rStyle w:val="Strong"/>
          <w:sz w:val="22"/>
          <w:szCs w:val="22"/>
          <w:lang w:val="en-GB"/>
        </w:rPr>
        <w:t xml:space="preserve">How applications may be submitted </w:t>
      </w:r>
    </w:p>
    <w:p w14:paraId="5BFEA2E3" w14:textId="77777777" w:rsidR="00F37C7C" w:rsidRPr="005D1026" w:rsidRDefault="00F37C7C" w:rsidP="00F37C7C">
      <w:pPr>
        <w:ind w:left="426"/>
        <w:jc w:val="both"/>
        <w:rPr>
          <w:sz w:val="22"/>
          <w:szCs w:val="22"/>
          <w:lang w:val="en-GB"/>
        </w:rPr>
      </w:pPr>
      <w:r w:rsidRPr="005D1026">
        <w:rPr>
          <w:sz w:val="22"/>
          <w:szCs w:val="22"/>
          <w:lang w:val="en-GB"/>
        </w:rPr>
        <w:t>Applications must be submitted in English exclusively to the contracting authority in a sealed envelope.</w:t>
      </w:r>
    </w:p>
    <w:p w14:paraId="52BBD47A" w14:textId="77777777" w:rsidR="00F37C7C" w:rsidRDefault="00F37C7C" w:rsidP="00F37C7C">
      <w:pPr>
        <w:numPr>
          <w:ilvl w:val="0"/>
          <w:numId w:val="11"/>
        </w:numPr>
        <w:rPr>
          <w:sz w:val="22"/>
          <w:szCs w:val="22"/>
          <w:lang w:val="en-GB"/>
        </w:rPr>
      </w:pPr>
      <w:r w:rsidRPr="005D1026">
        <w:rPr>
          <w:sz w:val="22"/>
          <w:szCs w:val="22"/>
          <w:lang w:val="en-GB"/>
        </w:rPr>
        <w:t xml:space="preserve">Either by post or by courier service, in which case the evidence shall be constituted by the postmark or the date of the deposit slip,  to: </w:t>
      </w:r>
    </w:p>
    <w:p w14:paraId="3E12E052" w14:textId="0C4FE5E3" w:rsidR="00F37C7C" w:rsidRPr="00F37C7C" w:rsidRDefault="00F37C7C" w:rsidP="00F37C7C">
      <w:pPr>
        <w:jc w:val="center"/>
        <w:rPr>
          <w:b/>
          <w:bCs/>
          <w:sz w:val="22"/>
          <w:szCs w:val="22"/>
          <w:lang w:val="en-GB"/>
        </w:rPr>
      </w:pPr>
      <w:r w:rsidRPr="00F37C7C">
        <w:rPr>
          <w:b/>
          <w:bCs/>
          <w:sz w:val="22"/>
          <w:szCs w:val="22"/>
          <w:lang w:val="en-GB"/>
        </w:rPr>
        <w:t>UNIVERSITY OF NOVI SAD / FACULTY OF AGRICULTURE</w:t>
      </w:r>
    </w:p>
    <w:p w14:paraId="75348C04" w14:textId="77777777" w:rsidR="00F37C7C" w:rsidRPr="00F37C7C" w:rsidRDefault="00F37C7C" w:rsidP="00F37C7C">
      <w:pPr>
        <w:jc w:val="center"/>
        <w:rPr>
          <w:sz w:val="22"/>
          <w:szCs w:val="22"/>
          <w:lang w:val="en-GB"/>
        </w:rPr>
      </w:pPr>
      <w:proofErr w:type="spellStart"/>
      <w:r w:rsidRPr="00F37C7C">
        <w:rPr>
          <w:sz w:val="22"/>
          <w:szCs w:val="22"/>
          <w:lang w:val="en-GB"/>
        </w:rPr>
        <w:lastRenderedPageBreak/>
        <w:t>Trg</w:t>
      </w:r>
      <w:proofErr w:type="spellEnd"/>
      <w:r w:rsidRPr="00F37C7C">
        <w:rPr>
          <w:sz w:val="22"/>
          <w:szCs w:val="22"/>
          <w:lang w:val="en-GB"/>
        </w:rPr>
        <w:t xml:space="preserve"> </w:t>
      </w:r>
      <w:proofErr w:type="spellStart"/>
      <w:r w:rsidRPr="00F37C7C">
        <w:rPr>
          <w:sz w:val="22"/>
          <w:szCs w:val="22"/>
          <w:lang w:val="en-GB"/>
        </w:rPr>
        <w:t>Dositeja</w:t>
      </w:r>
      <w:proofErr w:type="spellEnd"/>
      <w:r w:rsidRPr="00F37C7C">
        <w:rPr>
          <w:sz w:val="22"/>
          <w:szCs w:val="22"/>
          <w:lang w:val="en-GB"/>
        </w:rPr>
        <w:t xml:space="preserve"> </w:t>
      </w:r>
      <w:proofErr w:type="spellStart"/>
      <w:r w:rsidRPr="00F37C7C">
        <w:rPr>
          <w:sz w:val="22"/>
          <w:szCs w:val="22"/>
          <w:lang w:val="en-GB"/>
        </w:rPr>
        <w:t>Obradovica</w:t>
      </w:r>
      <w:proofErr w:type="spellEnd"/>
      <w:r w:rsidRPr="00F37C7C">
        <w:rPr>
          <w:sz w:val="22"/>
          <w:szCs w:val="22"/>
          <w:lang w:val="en-GB"/>
        </w:rPr>
        <w:t xml:space="preserve"> no.8, 21000 Novi Sad</w:t>
      </w:r>
    </w:p>
    <w:p w14:paraId="7BEC7AAC" w14:textId="77777777" w:rsidR="00F37C7C" w:rsidRPr="00F37C7C" w:rsidRDefault="00F37C7C" w:rsidP="00F37C7C">
      <w:pPr>
        <w:jc w:val="center"/>
        <w:rPr>
          <w:sz w:val="22"/>
          <w:szCs w:val="22"/>
          <w:lang w:val="en-GB"/>
        </w:rPr>
      </w:pPr>
      <w:r w:rsidRPr="00F37C7C">
        <w:rPr>
          <w:sz w:val="22"/>
          <w:szCs w:val="22"/>
          <w:lang w:val="en-GB"/>
        </w:rPr>
        <w:t>Contact person: Dragoslav Ivanisevic</w:t>
      </w:r>
    </w:p>
    <w:p w14:paraId="3547799D" w14:textId="722BA94F" w:rsidR="00F37C7C" w:rsidRDefault="00F37C7C" w:rsidP="00F37C7C">
      <w:pPr>
        <w:jc w:val="center"/>
        <w:rPr>
          <w:sz w:val="22"/>
          <w:szCs w:val="22"/>
          <w:lang w:val="en-GB"/>
        </w:rPr>
      </w:pPr>
      <w:r w:rsidRPr="00F37C7C">
        <w:rPr>
          <w:sz w:val="22"/>
          <w:szCs w:val="22"/>
          <w:lang w:val="en-GB"/>
        </w:rPr>
        <w:t xml:space="preserve">Email: </w:t>
      </w:r>
      <w:hyperlink r:id="rId13" w:history="1">
        <w:r w:rsidR="00E17A51" w:rsidRPr="00B47491">
          <w:rPr>
            <w:rStyle w:val="Hyperlink"/>
            <w:sz w:val="22"/>
            <w:lang w:val="en-GB"/>
          </w:rPr>
          <w:t>mirjana.railic@polj.edu.rs</w:t>
        </w:r>
      </w:hyperlink>
    </w:p>
    <w:p w14:paraId="0434915E" w14:textId="27218FA4" w:rsidR="00F37C7C" w:rsidRDefault="00F37C7C" w:rsidP="00F37C7C">
      <w:pPr>
        <w:numPr>
          <w:ilvl w:val="0"/>
          <w:numId w:val="11"/>
        </w:numPr>
        <w:rPr>
          <w:sz w:val="22"/>
          <w:szCs w:val="22"/>
          <w:lang w:val="en-GB"/>
        </w:rPr>
      </w:pPr>
      <w:r w:rsidRPr="005D1026">
        <w:rPr>
          <w:sz w:val="22"/>
          <w:szCs w:val="22"/>
          <w:lang w:val="en-GB"/>
        </w:rPr>
        <w:t>OR hand delivered by the participant in person or by an agent</w:t>
      </w:r>
      <w:r w:rsidRPr="005D1026">
        <w:t xml:space="preserve"> directly</w:t>
      </w:r>
      <w:r w:rsidRPr="005D1026">
        <w:rPr>
          <w:sz w:val="22"/>
          <w:szCs w:val="22"/>
          <w:lang w:val="en-GB"/>
        </w:rPr>
        <w:t xml:space="preserve"> to the premises of the contracting authority in return for a </w:t>
      </w:r>
      <w:r w:rsidRPr="005D1026">
        <w:t>signed and dated receipt</w:t>
      </w:r>
      <w:r w:rsidRPr="005D1026">
        <w:rPr>
          <w:sz w:val="22"/>
          <w:szCs w:val="22"/>
          <w:lang w:val="en-GB"/>
        </w:rPr>
        <w:t xml:space="preserve">, in which case the evidence shall be constituted by this acknowledgement of receipt, to: </w:t>
      </w:r>
    </w:p>
    <w:p w14:paraId="60D7289D" w14:textId="77777777" w:rsidR="00F37C7C" w:rsidRPr="00F37C7C" w:rsidRDefault="00F37C7C" w:rsidP="00F37C7C">
      <w:pPr>
        <w:jc w:val="center"/>
        <w:rPr>
          <w:b/>
          <w:bCs/>
          <w:sz w:val="22"/>
          <w:szCs w:val="22"/>
          <w:lang w:val="en-GB"/>
        </w:rPr>
      </w:pPr>
      <w:r w:rsidRPr="00F37C7C">
        <w:rPr>
          <w:b/>
          <w:bCs/>
          <w:sz w:val="22"/>
          <w:szCs w:val="22"/>
          <w:lang w:val="en-GB"/>
        </w:rPr>
        <w:t>UNIVERSITY OF NOVI SAD / FACULTY OF AGRICULTURE</w:t>
      </w:r>
    </w:p>
    <w:p w14:paraId="393DFDB4" w14:textId="77777777" w:rsidR="00F37C7C" w:rsidRPr="00F37C7C" w:rsidRDefault="00F37C7C" w:rsidP="00F37C7C">
      <w:pPr>
        <w:jc w:val="center"/>
        <w:rPr>
          <w:sz w:val="22"/>
          <w:szCs w:val="22"/>
          <w:lang w:val="en-GB"/>
        </w:rPr>
      </w:pPr>
      <w:proofErr w:type="spellStart"/>
      <w:r w:rsidRPr="00F37C7C">
        <w:rPr>
          <w:sz w:val="22"/>
          <w:szCs w:val="22"/>
          <w:lang w:val="en-GB"/>
        </w:rPr>
        <w:t>Trg</w:t>
      </w:r>
      <w:proofErr w:type="spellEnd"/>
      <w:r w:rsidRPr="00F37C7C">
        <w:rPr>
          <w:sz w:val="22"/>
          <w:szCs w:val="22"/>
          <w:lang w:val="en-GB"/>
        </w:rPr>
        <w:t xml:space="preserve"> </w:t>
      </w:r>
      <w:proofErr w:type="spellStart"/>
      <w:r w:rsidRPr="00F37C7C">
        <w:rPr>
          <w:sz w:val="22"/>
          <w:szCs w:val="22"/>
          <w:lang w:val="en-GB"/>
        </w:rPr>
        <w:t>Dositeja</w:t>
      </w:r>
      <w:proofErr w:type="spellEnd"/>
      <w:r w:rsidRPr="00F37C7C">
        <w:rPr>
          <w:sz w:val="22"/>
          <w:szCs w:val="22"/>
          <w:lang w:val="en-GB"/>
        </w:rPr>
        <w:t xml:space="preserve"> </w:t>
      </w:r>
      <w:proofErr w:type="spellStart"/>
      <w:r w:rsidRPr="00F37C7C">
        <w:rPr>
          <w:sz w:val="22"/>
          <w:szCs w:val="22"/>
          <w:lang w:val="en-GB"/>
        </w:rPr>
        <w:t>Obradovica</w:t>
      </w:r>
      <w:proofErr w:type="spellEnd"/>
      <w:r w:rsidRPr="00F37C7C">
        <w:rPr>
          <w:sz w:val="22"/>
          <w:szCs w:val="22"/>
          <w:lang w:val="en-GB"/>
        </w:rPr>
        <w:t xml:space="preserve"> no.8, 21000 Novi Sad</w:t>
      </w:r>
    </w:p>
    <w:p w14:paraId="1A3AC719" w14:textId="77777777" w:rsidR="00F37C7C" w:rsidRPr="00F37C7C" w:rsidRDefault="00F37C7C" w:rsidP="00F37C7C">
      <w:pPr>
        <w:jc w:val="center"/>
        <w:rPr>
          <w:sz w:val="22"/>
          <w:szCs w:val="22"/>
          <w:lang w:val="en-GB"/>
        </w:rPr>
      </w:pPr>
      <w:r w:rsidRPr="00F37C7C">
        <w:rPr>
          <w:sz w:val="22"/>
          <w:szCs w:val="22"/>
          <w:lang w:val="en-GB"/>
        </w:rPr>
        <w:t>Contact person: Dragoslav Ivanisevic</w:t>
      </w:r>
    </w:p>
    <w:p w14:paraId="070B8AC4" w14:textId="1670E7D9" w:rsidR="00F37C7C" w:rsidRDefault="00F37C7C" w:rsidP="00F37C7C">
      <w:pPr>
        <w:jc w:val="center"/>
        <w:rPr>
          <w:sz w:val="22"/>
          <w:szCs w:val="22"/>
          <w:lang w:val="en-GB"/>
        </w:rPr>
      </w:pPr>
      <w:r w:rsidRPr="00F37C7C">
        <w:rPr>
          <w:sz w:val="22"/>
          <w:szCs w:val="22"/>
          <w:lang w:val="en-GB"/>
        </w:rPr>
        <w:t xml:space="preserve">Email: </w:t>
      </w:r>
      <w:hyperlink r:id="rId14" w:history="1">
        <w:r w:rsidR="00E17A51" w:rsidRPr="00B47491">
          <w:rPr>
            <w:rStyle w:val="Hyperlink"/>
            <w:sz w:val="22"/>
            <w:lang w:val="en-GB"/>
          </w:rPr>
          <w:t>mirjana.railic@polj.edu.rs</w:t>
        </w:r>
      </w:hyperlink>
    </w:p>
    <w:p w14:paraId="74E7A216" w14:textId="77777777" w:rsidR="00F37C7C" w:rsidRPr="005D1026" w:rsidRDefault="00F37C7C" w:rsidP="00F37C7C">
      <w:pPr>
        <w:rPr>
          <w:sz w:val="22"/>
          <w:szCs w:val="22"/>
          <w:lang w:val="en-GB"/>
        </w:rPr>
      </w:pPr>
      <w:r w:rsidRPr="005D1026">
        <w:rPr>
          <w:sz w:val="22"/>
          <w:szCs w:val="22"/>
          <w:lang w:val="en-GB"/>
        </w:rPr>
        <w:t xml:space="preserve">The contract title and publication reference (see contract notice) must be clearly marked on the envelope containing the application and must always be mentioned in all subsequent correspondence with the contracting authority. </w:t>
      </w:r>
    </w:p>
    <w:p w14:paraId="754218A1" w14:textId="77777777" w:rsidR="00F37C7C" w:rsidRPr="005D1026" w:rsidRDefault="00F37C7C" w:rsidP="00F37C7C">
      <w:pPr>
        <w:tabs>
          <w:tab w:val="left" w:pos="426"/>
        </w:tabs>
        <w:jc w:val="both"/>
        <w:rPr>
          <w:sz w:val="22"/>
          <w:szCs w:val="22"/>
          <w:lang w:val="en-GB"/>
        </w:rPr>
      </w:pPr>
      <w:r w:rsidRPr="005D1026">
        <w:rPr>
          <w:sz w:val="22"/>
          <w:szCs w:val="22"/>
          <w:lang w:val="en-GB"/>
        </w:rPr>
        <w:t xml:space="preserve">Applications submitted by any other means will not be considered. </w:t>
      </w:r>
    </w:p>
    <w:p w14:paraId="03B7D566" w14:textId="77777777" w:rsidR="00F37C7C" w:rsidRPr="005D1026" w:rsidRDefault="00F37C7C" w:rsidP="00F37C7C">
      <w:pPr>
        <w:tabs>
          <w:tab w:val="left" w:pos="426"/>
        </w:tabs>
        <w:jc w:val="both"/>
        <w:rPr>
          <w:sz w:val="22"/>
          <w:szCs w:val="22"/>
          <w:lang w:val="en-GB"/>
        </w:rPr>
      </w:pPr>
      <w:r w:rsidRPr="005D1026">
        <w:rPr>
          <w:sz w:val="22"/>
          <w:szCs w:val="22"/>
          <w:lang w:val="en-GB"/>
        </w:rPr>
        <w:t>By submitting an application</w:t>
      </w:r>
      <w:r>
        <w:rPr>
          <w:sz w:val="22"/>
          <w:szCs w:val="22"/>
          <w:lang w:val="en-GB"/>
        </w:rPr>
        <w:t xml:space="preserve"> </w:t>
      </w:r>
      <w:r w:rsidRPr="005D1026">
        <w:rPr>
          <w:sz w:val="22"/>
          <w:szCs w:val="22"/>
          <w:lang w:val="en-GB"/>
        </w:rPr>
        <w:t xml:space="preserve">candidate accept to receive notification of the outcome of the procedure by electronic means. Such notification shall be deemed to have been received on the date upon which the contracting authority sends it to the electronic address referred to in the application form. </w:t>
      </w:r>
    </w:p>
    <w:p w14:paraId="3E8255BD" w14:textId="77777777" w:rsidR="00F37C7C" w:rsidRPr="00A9797C" w:rsidRDefault="00F37C7C" w:rsidP="00F37C7C">
      <w:pPr>
        <w:pStyle w:val="PRAGHeading2"/>
        <w:tabs>
          <w:tab w:val="clear" w:pos="567"/>
          <w:tab w:val="num" w:pos="426"/>
        </w:tabs>
        <w:ind w:hanging="567"/>
        <w:rPr>
          <w:snapToGrid/>
          <w:sz w:val="22"/>
          <w:lang w:val="en-GB"/>
        </w:rPr>
      </w:pPr>
      <w:r w:rsidRPr="00A9797C">
        <w:rPr>
          <w:rStyle w:val="Strong"/>
          <w:lang w:val="en-GB"/>
        </w:rPr>
        <w:t>Deadline for submission of applications</w:t>
      </w:r>
    </w:p>
    <w:p w14:paraId="29200988" w14:textId="77777777" w:rsidR="00F37C7C" w:rsidRPr="00A9797C" w:rsidRDefault="00F37C7C" w:rsidP="00F37C7C">
      <w:pPr>
        <w:pStyle w:val="PRAGHeading2"/>
        <w:numPr>
          <w:ilvl w:val="0"/>
          <w:numId w:val="0"/>
        </w:numPr>
        <w:jc w:val="both"/>
        <w:rPr>
          <w:rStyle w:val="Emphasis"/>
          <w:i w:val="0"/>
          <w:lang w:val="en-IE"/>
        </w:rPr>
      </w:pPr>
      <w:r w:rsidRPr="00A9797C">
        <w:rPr>
          <w:rStyle w:val="Emphasis"/>
          <w:i w:val="0"/>
          <w:iCs/>
          <w:sz w:val="22"/>
          <w:szCs w:val="22"/>
          <w:lang w:val="en-GB"/>
        </w:rPr>
        <w:t>The candidate’s attention is drawn to the fact that there are two different systems for sending applications: one is by post or private mail service, the other is by hand delivery.</w:t>
      </w:r>
    </w:p>
    <w:p w14:paraId="4D1A6007" w14:textId="77777777" w:rsidR="00F37C7C" w:rsidRPr="00A9797C" w:rsidRDefault="00F37C7C" w:rsidP="00F37C7C">
      <w:pPr>
        <w:pStyle w:val="PRAGHeading2"/>
        <w:numPr>
          <w:ilvl w:val="0"/>
          <w:numId w:val="0"/>
        </w:numPr>
        <w:jc w:val="both"/>
        <w:rPr>
          <w:rStyle w:val="Emphasis"/>
          <w:i w:val="0"/>
          <w:iCs/>
          <w:sz w:val="22"/>
          <w:szCs w:val="22"/>
          <w:lang w:val="en-GB"/>
        </w:rPr>
      </w:pPr>
      <w:r w:rsidRPr="00A9797C">
        <w:rPr>
          <w:rStyle w:val="Emphasis"/>
          <w:i w:val="0"/>
          <w:iCs/>
          <w:sz w:val="22"/>
          <w:szCs w:val="22"/>
          <w:lang w:val="en-GB"/>
        </w:rPr>
        <w:t>In the first case, the application must be sent before the date and time limit for submission, as evidenced by the postmark or deposit slip</w:t>
      </w:r>
      <w:r w:rsidRPr="00A9797C">
        <w:rPr>
          <w:rStyle w:val="FootnoteReference"/>
          <w:iCs/>
          <w:sz w:val="22"/>
          <w:szCs w:val="22"/>
          <w:lang w:val="en-GB"/>
        </w:rPr>
        <w:footnoteReference w:id="1"/>
      </w:r>
      <w:r w:rsidRPr="00A9797C">
        <w:rPr>
          <w:rStyle w:val="Emphasis"/>
          <w:i w:val="0"/>
          <w:iCs/>
          <w:sz w:val="22"/>
          <w:szCs w:val="22"/>
          <w:lang w:val="en-GB"/>
        </w:rPr>
        <w:t>, but in the second case it is the acknowledgment of receipt given at the time of the delivery of the application that will serve as proof.</w:t>
      </w:r>
    </w:p>
    <w:p w14:paraId="07E2BA2C" w14:textId="77777777" w:rsidR="00F37C7C" w:rsidRPr="00A9797C" w:rsidRDefault="00F37C7C" w:rsidP="00F37C7C">
      <w:pPr>
        <w:pStyle w:val="PRAGHeading2"/>
        <w:numPr>
          <w:ilvl w:val="0"/>
          <w:numId w:val="0"/>
        </w:numPr>
        <w:jc w:val="both"/>
        <w:rPr>
          <w:rStyle w:val="Emphasis"/>
          <w:b/>
          <w:i w:val="0"/>
          <w:iCs/>
          <w:sz w:val="22"/>
          <w:szCs w:val="22"/>
          <w:lang w:val="en-GB"/>
        </w:rPr>
      </w:pPr>
      <w:r w:rsidRPr="00A9797C">
        <w:rPr>
          <w:rStyle w:val="Emphasis"/>
          <w:b/>
          <w:i w:val="0"/>
          <w:iCs/>
          <w:sz w:val="22"/>
          <w:szCs w:val="22"/>
          <w:lang w:val="en-GB"/>
        </w:rPr>
        <w:t>The deadline for submission of applications can be found in the Contract Notice under IV.2.2.</w:t>
      </w:r>
    </w:p>
    <w:p w14:paraId="200CE45B" w14:textId="77777777" w:rsidR="00F37C7C" w:rsidRPr="00A9797C" w:rsidRDefault="00F37C7C" w:rsidP="00F37C7C">
      <w:pPr>
        <w:pStyle w:val="PRAGHeading2"/>
        <w:numPr>
          <w:ilvl w:val="0"/>
          <w:numId w:val="0"/>
        </w:numPr>
        <w:jc w:val="both"/>
        <w:rPr>
          <w:rStyle w:val="Emphasis"/>
          <w:i w:val="0"/>
          <w:iCs/>
          <w:sz w:val="22"/>
          <w:szCs w:val="22"/>
          <w:lang w:val="en-GB"/>
        </w:rPr>
      </w:pPr>
      <w:r w:rsidRPr="00A9797C">
        <w:rPr>
          <w:rStyle w:val="Emphasis"/>
          <w:i w:val="0"/>
          <w:iCs/>
          <w:sz w:val="22"/>
          <w:szCs w:val="22"/>
          <w:lang w:val="en-GB"/>
        </w:rPr>
        <w:t>Any application sent to the contracting authority after this deadline will not be considered.</w:t>
      </w:r>
    </w:p>
    <w:p w14:paraId="29A13DA5" w14:textId="77777777" w:rsidR="00F37C7C" w:rsidRDefault="00F37C7C" w:rsidP="00F37C7C">
      <w:pPr>
        <w:pStyle w:val="PRAGHeading2"/>
        <w:numPr>
          <w:ilvl w:val="0"/>
          <w:numId w:val="0"/>
        </w:numPr>
        <w:jc w:val="both"/>
        <w:rPr>
          <w:lang w:val="en-GB"/>
        </w:rPr>
      </w:pPr>
      <w:r w:rsidRPr="00A9797C">
        <w:rPr>
          <w:rStyle w:val="Emphasis"/>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A9797C">
        <w:rPr>
          <w:lang w:val="en-GB"/>
        </w:rPr>
        <w:t xml:space="preserve"> </w:t>
      </w:r>
      <w:r w:rsidRPr="00A9797C">
        <w:rPr>
          <w:sz w:val="22"/>
          <w:szCs w:val="22"/>
          <w:lang w:val="en-GB"/>
        </w:rPr>
        <w:t>decisions already taken and notified</w:t>
      </w:r>
      <w:r w:rsidRPr="00A9797C">
        <w:rPr>
          <w:lang w:val="en-GB"/>
        </w:rPr>
        <w:t>.</w:t>
      </w:r>
    </w:p>
    <w:p w14:paraId="4320918F" w14:textId="77777777" w:rsidR="00F37C7C" w:rsidRPr="00A9797C" w:rsidRDefault="00F37C7C" w:rsidP="00F37C7C">
      <w:pPr>
        <w:pStyle w:val="PRAGHeading2"/>
        <w:tabs>
          <w:tab w:val="clear" w:pos="567"/>
          <w:tab w:val="num" w:pos="426"/>
        </w:tabs>
        <w:ind w:hanging="567"/>
        <w:rPr>
          <w:rStyle w:val="Strong"/>
          <w:sz w:val="22"/>
          <w:szCs w:val="22"/>
          <w:lang w:val="en-GB"/>
        </w:rPr>
      </w:pPr>
      <w:r w:rsidRPr="00A9797C">
        <w:rPr>
          <w:rStyle w:val="Strong"/>
          <w:sz w:val="22"/>
          <w:szCs w:val="22"/>
          <w:lang w:val="en-GB"/>
        </w:rPr>
        <w:t>Clarifications on the contract notice</w:t>
      </w:r>
    </w:p>
    <w:p w14:paraId="537CFBFB" w14:textId="77777777" w:rsidR="00F37C7C" w:rsidRDefault="00F37C7C" w:rsidP="00F37C7C">
      <w:pPr>
        <w:jc w:val="both"/>
        <w:rPr>
          <w:sz w:val="22"/>
          <w:szCs w:val="22"/>
          <w:lang w:val="en-GB"/>
        </w:rPr>
      </w:pPr>
      <w:r w:rsidRPr="00A9797C">
        <w:rPr>
          <w:sz w:val="22"/>
          <w:szCs w:val="22"/>
          <w:lang w:val="en-GB"/>
        </w:rPr>
        <w:t>T</w:t>
      </w:r>
      <w:r w:rsidRPr="00A9797C">
        <w:rPr>
          <w:snapToGrid/>
          <w:sz w:val="22"/>
          <w:szCs w:val="22"/>
          <w:lang w:val="en-GB"/>
        </w:rPr>
        <w:t xml:space="preserve">enderers may submit questions </w:t>
      </w:r>
      <w:bookmarkStart w:id="2" w:name="_Hlk80532714"/>
      <w:r w:rsidRPr="00A9797C">
        <w:rPr>
          <w:snapToGrid/>
          <w:sz w:val="22"/>
          <w:szCs w:val="22"/>
          <w:lang w:val="en-GB"/>
        </w:rPr>
        <w:t>in writing up to 21 days before the deadline for submission of</w:t>
      </w:r>
      <w:r w:rsidRPr="00A9797C">
        <w:rPr>
          <w:sz w:val="22"/>
          <w:szCs w:val="22"/>
          <w:lang w:val="en-GB"/>
        </w:rPr>
        <w:t xml:space="preserve"> tenders, specifying the publication reference and the contract title:</w:t>
      </w:r>
    </w:p>
    <w:p w14:paraId="0097BAEF" w14:textId="77777777" w:rsidR="00F37C7C" w:rsidRPr="00F37C7C" w:rsidRDefault="00F37C7C" w:rsidP="00F37C7C">
      <w:pPr>
        <w:jc w:val="center"/>
        <w:rPr>
          <w:b/>
          <w:bCs/>
          <w:sz w:val="22"/>
          <w:szCs w:val="22"/>
          <w:lang w:val="en-GB"/>
        </w:rPr>
      </w:pPr>
      <w:r w:rsidRPr="00F37C7C">
        <w:rPr>
          <w:b/>
          <w:bCs/>
          <w:sz w:val="22"/>
          <w:szCs w:val="22"/>
          <w:lang w:val="en-GB"/>
        </w:rPr>
        <w:t>UNIVERSITY OF NOVI SAD / FACULTY OF AGRICULTURE</w:t>
      </w:r>
    </w:p>
    <w:p w14:paraId="57EB19BF" w14:textId="77777777" w:rsidR="00F37C7C" w:rsidRPr="00F37C7C" w:rsidRDefault="00F37C7C" w:rsidP="00F37C7C">
      <w:pPr>
        <w:jc w:val="center"/>
        <w:rPr>
          <w:sz w:val="22"/>
          <w:szCs w:val="22"/>
          <w:lang w:val="en-GB"/>
        </w:rPr>
      </w:pPr>
      <w:proofErr w:type="spellStart"/>
      <w:r w:rsidRPr="00F37C7C">
        <w:rPr>
          <w:sz w:val="22"/>
          <w:szCs w:val="22"/>
          <w:lang w:val="en-GB"/>
        </w:rPr>
        <w:t>Trg</w:t>
      </w:r>
      <w:proofErr w:type="spellEnd"/>
      <w:r w:rsidRPr="00F37C7C">
        <w:rPr>
          <w:sz w:val="22"/>
          <w:szCs w:val="22"/>
          <w:lang w:val="en-GB"/>
        </w:rPr>
        <w:t xml:space="preserve"> </w:t>
      </w:r>
      <w:proofErr w:type="spellStart"/>
      <w:r w:rsidRPr="00F37C7C">
        <w:rPr>
          <w:sz w:val="22"/>
          <w:szCs w:val="22"/>
          <w:lang w:val="en-GB"/>
        </w:rPr>
        <w:t>Dositeja</w:t>
      </w:r>
      <w:proofErr w:type="spellEnd"/>
      <w:r w:rsidRPr="00F37C7C">
        <w:rPr>
          <w:sz w:val="22"/>
          <w:szCs w:val="22"/>
          <w:lang w:val="en-GB"/>
        </w:rPr>
        <w:t xml:space="preserve"> </w:t>
      </w:r>
      <w:proofErr w:type="spellStart"/>
      <w:r w:rsidRPr="00F37C7C">
        <w:rPr>
          <w:sz w:val="22"/>
          <w:szCs w:val="22"/>
          <w:lang w:val="en-GB"/>
        </w:rPr>
        <w:t>Obradovica</w:t>
      </w:r>
      <w:proofErr w:type="spellEnd"/>
      <w:r w:rsidRPr="00F37C7C">
        <w:rPr>
          <w:sz w:val="22"/>
          <w:szCs w:val="22"/>
          <w:lang w:val="en-GB"/>
        </w:rPr>
        <w:t xml:space="preserve"> no.8, 21000 Novi Sad</w:t>
      </w:r>
    </w:p>
    <w:p w14:paraId="714793B2" w14:textId="77777777" w:rsidR="00F37C7C" w:rsidRPr="00F37C7C" w:rsidRDefault="00F37C7C" w:rsidP="00F37C7C">
      <w:pPr>
        <w:jc w:val="center"/>
        <w:rPr>
          <w:sz w:val="22"/>
          <w:szCs w:val="22"/>
          <w:lang w:val="en-GB"/>
        </w:rPr>
      </w:pPr>
      <w:r w:rsidRPr="00F37C7C">
        <w:rPr>
          <w:sz w:val="22"/>
          <w:szCs w:val="22"/>
          <w:lang w:val="en-GB"/>
        </w:rPr>
        <w:t>Contact person: Dragoslav Ivanisevic</w:t>
      </w:r>
    </w:p>
    <w:p w14:paraId="61F9FAC3" w14:textId="047EEE6F" w:rsidR="00F37C7C" w:rsidRDefault="00F37C7C" w:rsidP="00F37C7C">
      <w:pPr>
        <w:jc w:val="center"/>
        <w:rPr>
          <w:sz w:val="22"/>
          <w:szCs w:val="22"/>
          <w:lang w:val="en-GB"/>
        </w:rPr>
      </w:pPr>
      <w:r w:rsidRPr="00F37C7C">
        <w:rPr>
          <w:sz w:val="22"/>
          <w:szCs w:val="22"/>
          <w:lang w:val="en-GB"/>
        </w:rPr>
        <w:t xml:space="preserve">Email: </w:t>
      </w:r>
      <w:hyperlink r:id="rId15" w:history="1">
        <w:r w:rsidR="00E17A51" w:rsidRPr="00B47491">
          <w:rPr>
            <w:rStyle w:val="Hyperlink"/>
            <w:sz w:val="22"/>
            <w:lang w:val="en-GB"/>
          </w:rPr>
          <w:t>mirjana.railic@polj.edu.rs</w:t>
        </w:r>
      </w:hyperlink>
    </w:p>
    <w:p w14:paraId="12C796FB" w14:textId="77777777" w:rsidR="00F37C7C" w:rsidRPr="00A9797C" w:rsidRDefault="00F37C7C" w:rsidP="00F37C7C">
      <w:pPr>
        <w:jc w:val="both"/>
        <w:rPr>
          <w:sz w:val="22"/>
          <w:szCs w:val="22"/>
          <w:lang w:val="en-GB"/>
        </w:rPr>
      </w:pPr>
      <w:r w:rsidRPr="00A9797C">
        <w:rPr>
          <w:sz w:val="22"/>
          <w:szCs w:val="22"/>
          <w:lang w:val="en-GB"/>
        </w:rPr>
        <w:t>The Contracting Authority has no obligation to provide additional information after this date.</w:t>
      </w:r>
    </w:p>
    <w:p w14:paraId="0DF7E717" w14:textId="77777777" w:rsidR="00F37C7C" w:rsidRDefault="00F37C7C" w:rsidP="00F37C7C">
      <w:pPr>
        <w:jc w:val="both"/>
        <w:rPr>
          <w:sz w:val="22"/>
          <w:szCs w:val="22"/>
          <w:lang w:val="en-GB"/>
        </w:rPr>
      </w:pPr>
      <w:r w:rsidRPr="00A9797C">
        <w:rPr>
          <w:sz w:val="22"/>
          <w:szCs w:val="22"/>
          <w:lang w:val="en-GB"/>
        </w:rPr>
        <w:t>The contracting authority must reply to all tenderers’ questions at least 11 days before the deadline for receipt of tenders.</w:t>
      </w:r>
      <w:bookmarkEnd w:id="2"/>
    </w:p>
    <w:p w14:paraId="7A6910E7" w14:textId="26E7F053" w:rsidR="00F37C7C" w:rsidRDefault="00F37C7C" w:rsidP="00F37C7C">
      <w:pPr>
        <w:jc w:val="both"/>
        <w:rPr>
          <w:sz w:val="22"/>
          <w:szCs w:val="22"/>
          <w:lang w:val="en-GB"/>
        </w:rPr>
      </w:pPr>
      <w:r w:rsidRPr="00E71B81">
        <w:rPr>
          <w:sz w:val="22"/>
          <w:szCs w:val="22"/>
          <w:lang w:val="en-GB"/>
        </w:rPr>
        <w:t>The questions and answers will be published on the official website of the Contracting Authority</w:t>
      </w:r>
      <w:r>
        <w:rPr>
          <w:sz w:val="22"/>
          <w:szCs w:val="22"/>
          <w:lang w:val="en-GB"/>
        </w:rPr>
        <w:t xml:space="preserve"> </w:t>
      </w:r>
      <w:r w:rsidRPr="00F37C7C">
        <w:rPr>
          <w:sz w:val="22"/>
          <w:szCs w:val="22"/>
          <w:lang w:val="en-GB"/>
        </w:rPr>
        <w:t xml:space="preserve">(Faculty of agriculture) </w:t>
      </w:r>
      <w:hyperlink r:id="rId16" w:history="1">
        <w:r w:rsidRPr="008F6B9C">
          <w:rPr>
            <w:rStyle w:val="Hyperlink"/>
            <w:sz w:val="22"/>
            <w:szCs w:val="22"/>
            <w:lang w:val="en-GB"/>
          </w:rPr>
          <w:t>www.polj.uns.ac.rs</w:t>
        </w:r>
      </w:hyperlink>
      <w:r w:rsidRPr="00F37C7C">
        <w:rPr>
          <w:sz w:val="22"/>
          <w:szCs w:val="22"/>
          <w:lang w:val="en-GB"/>
        </w:rPr>
        <w:t>,</w:t>
      </w:r>
      <w:r>
        <w:rPr>
          <w:sz w:val="22"/>
          <w:szCs w:val="22"/>
          <w:lang w:val="en-GB"/>
        </w:rPr>
        <w:t xml:space="preserve"> </w:t>
      </w:r>
      <w:r w:rsidRPr="00F37C7C">
        <w:rPr>
          <w:sz w:val="22"/>
          <w:szCs w:val="22"/>
          <w:lang w:val="en-GB"/>
        </w:rPr>
        <w:t xml:space="preserve"> as well as on the official website of the Interreg IPA CBC </w:t>
      </w:r>
      <w:r w:rsidRPr="00F37C7C">
        <w:rPr>
          <w:sz w:val="22"/>
          <w:szCs w:val="22"/>
          <w:lang w:val="en-GB"/>
        </w:rPr>
        <w:lastRenderedPageBreak/>
        <w:t>Programme Croatia – Serbia –</w:t>
      </w:r>
      <w:r w:rsidR="00787720">
        <w:rPr>
          <w:sz w:val="22"/>
          <w:szCs w:val="22"/>
          <w:lang w:val="en-GB"/>
        </w:rPr>
        <w:t xml:space="preserve"> </w:t>
      </w:r>
      <w:hyperlink r:id="rId17" w:history="1">
        <w:r w:rsidR="00787720" w:rsidRPr="00DB68A6">
          <w:rPr>
            <w:rStyle w:val="Hyperlink"/>
          </w:rPr>
          <w:t>www.</w:t>
        </w:r>
        <w:r w:rsidR="00787720" w:rsidRPr="00DB68A6">
          <w:rPr>
            <w:rStyle w:val="Hyperlink"/>
            <w:sz w:val="22"/>
            <w:szCs w:val="22"/>
          </w:rPr>
          <w:t>interreg-croatia-serbia.eu/</w:t>
        </w:r>
      </w:hyperlink>
      <w:r w:rsidRPr="00F37C7C">
        <w:rPr>
          <w:sz w:val="22"/>
          <w:szCs w:val="22"/>
          <w:lang w:val="en-GB"/>
        </w:rPr>
        <w:t>.</w:t>
      </w:r>
      <w:r>
        <w:rPr>
          <w:sz w:val="22"/>
          <w:szCs w:val="22"/>
          <w:lang w:val="en-GB"/>
        </w:rPr>
        <w:t xml:space="preserve"> </w:t>
      </w:r>
      <w:r w:rsidRPr="00E71B81">
        <w:rPr>
          <w:sz w:val="22"/>
          <w:szCs w:val="22"/>
          <w:lang w:val="en-GB"/>
        </w:rPr>
        <w:t>The websites will be updated regularly and it is the tenderer’s responsibility to check for updates and modifications during the submission period.</w:t>
      </w:r>
    </w:p>
    <w:p w14:paraId="0BE2DE31" w14:textId="77777777" w:rsidR="00787720" w:rsidRDefault="00787720" w:rsidP="00F37C7C">
      <w:pPr>
        <w:jc w:val="both"/>
        <w:rPr>
          <w:sz w:val="22"/>
          <w:szCs w:val="22"/>
          <w:lang w:val="en-GB"/>
        </w:rPr>
      </w:pPr>
    </w:p>
    <w:p w14:paraId="600D8234" w14:textId="77777777" w:rsidR="00787720" w:rsidRDefault="00787720" w:rsidP="00F37C7C">
      <w:pPr>
        <w:jc w:val="both"/>
        <w:rPr>
          <w:sz w:val="22"/>
          <w:szCs w:val="22"/>
          <w:lang w:val="en-GB"/>
        </w:rPr>
      </w:pPr>
    </w:p>
    <w:p w14:paraId="6807CA64" w14:textId="77777777" w:rsidR="00787720" w:rsidRDefault="00787720" w:rsidP="00F37C7C">
      <w:pPr>
        <w:jc w:val="both"/>
        <w:rPr>
          <w:sz w:val="22"/>
          <w:szCs w:val="22"/>
          <w:lang w:val="en-GB"/>
        </w:rPr>
      </w:pPr>
    </w:p>
    <w:p w14:paraId="2BBA6CEC" w14:textId="77777777" w:rsidR="00F37C7C" w:rsidRPr="0026413E" w:rsidRDefault="00F37C7C" w:rsidP="00F37C7C">
      <w:pPr>
        <w:pStyle w:val="PRAGHeading2"/>
        <w:ind w:left="426" w:hanging="426"/>
        <w:jc w:val="both"/>
        <w:rPr>
          <w:rStyle w:val="Strong"/>
          <w:sz w:val="22"/>
          <w:szCs w:val="22"/>
          <w:lang w:val="en-GB"/>
        </w:rPr>
      </w:pPr>
      <w:r w:rsidRPr="0026413E">
        <w:rPr>
          <w:rStyle w:val="Strong"/>
          <w:sz w:val="22"/>
          <w:szCs w:val="22"/>
          <w:lang w:val="en-GB"/>
        </w:rPr>
        <w:t>Alteration or withdrawal of applications</w:t>
      </w:r>
    </w:p>
    <w:p w14:paraId="29F16F14" w14:textId="77777777" w:rsidR="00F37C7C" w:rsidRPr="0026413E" w:rsidRDefault="00F37C7C" w:rsidP="000A7080">
      <w:pPr>
        <w:jc w:val="both"/>
        <w:rPr>
          <w:sz w:val="22"/>
          <w:szCs w:val="22"/>
          <w:lang w:val="en-GB"/>
        </w:rPr>
      </w:pPr>
      <w:r w:rsidRPr="0026413E">
        <w:rPr>
          <w:sz w:val="22"/>
          <w:szCs w:val="22"/>
          <w:lang w:val="en-GB"/>
        </w:rPr>
        <w:t xml:space="preserve">Applicants may alter or withdraw their applications by written notification prior to the deadline for submission of applications. No applications may be altered after this deadline. </w:t>
      </w:r>
    </w:p>
    <w:p w14:paraId="2E3F27D6" w14:textId="77777777" w:rsidR="00F37C7C" w:rsidRDefault="00F37C7C" w:rsidP="000A7080">
      <w:pPr>
        <w:jc w:val="both"/>
        <w:rPr>
          <w:sz w:val="22"/>
          <w:szCs w:val="22"/>
          <w:lang w:val="en-GB"/>
        </w:rPr>
      </w:pPr>
      <w:r w:rsidRPr="0026413E">
        <w:rPr>
          <w:sz w:val="22"/>
          <w:szCs w:val="22"/>
          <w:lang w:val="en-GB"/>
        </w:rPr>
        <w:t>Any such notification of alteration or withdrawal shall be prepared and submitted in accordance with precedent item. The outer envelope (and the relevant inner envelope if used) must be marked ‘Alteration’ or ‘Withdrawal’ as appropriate.</w:t>
      </w:r>
    </w:p>
    <w:p w14:paraId="47E800DA" w14:textId="77777777" w:rsidR="00F37C7C" w:rsidRPr="00573723" w:rsidRDefault="00F37C7C" w:rsidP="00F37C7C">
      <w:pPr>
        <w:pStyle w:val="PRAGHeading2"/>
        <w:ind w:left="426" w:hanging="426"/>
        <w:rPr>
          <w:rStyle w:val="Strong"/>
          <w:sz w:val="22"/>
          <w:szCs w:val="22"/>
          <w:lang w:val="en-GB"/>
        </w:rPr>
      </w:pPr>
      <w:r w:rsidRPr="00573723">
        <w:rPr>
          <w:rStyle w:val="Strong"/>
          <w:sz w:val="22"/>
          <w:szCs w:val="22"/>
          <w:lang w:val="en-GB"/>
        </w:rPr>
        <w:t>Language of the procedure</w:t>
      </w:r>
    </w:p>
    <w:p w14:paraId="2A75894F" w14:textId="77777777" w:rsidR="00F37C7C" w:rsidRDefault="00F37C7C" w:rsidP="000A7080">
      <w:pPr>
        <w:jc w:val="both"/>
        <w:rPr>
          <w:sz w:val="22"/>
          <w:szCs w:val="22"/>
          <w:lang w:val="en-GB"/>
        </w:rPr>
      </w:pPr>
      <w:r w:rsidRPr="00214A9F">
        <w:rPr>
          <w:sz w:val="22"/>
          <w:szCs w:val="22"/>
          <w:lang w:val="en-GB"/>
        </w:rPr>
        <w:t xml:space="preserve">All written communications for this tender procedure and contract must be in English. </w:t>
      </w:r>
    </w:p>
    <w:p w14:paraId="7A215491" w14:textId="7EDC5AA3" w:rsidR="00F37C7C" w:rsidRPr="00EA0609" w:rsidRDefault="00F37C7C" w:rsidP="00F37C7C">
      <w:pPr>
        <w:ind w:left="426" w:hanging="426"/>
        <w:rPr>
          <w:b/>
          <w:sz w:val="22"/>
          <w:szCs w:val="22"/>
          <w:lang w:val="en-GB"/>
        </w:rPr>
      </w:pPr>
      <w:r>
        <w:rPr>
          <w:b/>
          <w:sz w:val="22"/>
          <w:szCs w:val="22"/>
          <w:lang w:val="en-GB"/>
        </w:rPr>
        <w:t>2</w:t>
      </w:r>
      <w:r w:rsidR="00F642F1">
        <w:rPr>
          <w:b/>
          <w:sz w:val="22"/>
          <w:szCs w:val="22"/>
          <w:lang w:val="en-GB"/>
        </w:rPr>
        <w:t>0</w:t>
      </w:r>
      <w:r>
        <w:rPr>
          <w:b/>
          <w:sz w:val="22"/>
          <w:szCs w:val="22"/>
          <w:lang w:val="en-GB"/>
        </w:rPr>
        <w:t>.</w:t>
      </w:r>
      <w:r>
        <w:rPr>
          <w:b/>
          <w:sz w:val="22"/>
          <w:szCs w:val="22"/>
          <w:lang w:val="en-GB"/>
        </w:rPr>
        <w:tab/>
      </w:r>
      <w:r w:rsidRPr="00EA0609">
        <w:rPr>
          <w:b/>
          <w:sz w:val="22"/>
          <w:szCs w:val="22"/>
          <w:lang w:val="en-GB"/>
        </w:rPr>
        <w:t>Legal basis</w:t>
      </w:r>
    </w:p>
    <w:p w14:paraId="6BB639B5" w14:textId="77777777" w:rsidR="00F37C7C" w:rsidRPr="000121C5" w:rsidRDefault="00F37C7C" w:rsidP="000A7080">
      <w:pPr>
        <w:pStyle w:val="Blockquote"/>
        <w:ind w:left="0" w:right="0"/>
        <w:jc w:val="both"/>
        <w:rPr>
          <w:sz w:val="22"/>
          <w:szCs w:val="22"/>
          <w:lang w:val="en-GB"/>
        </w:rPr>
      </w:pPr>
      <w:r w:rsidRPr="000121C5">
        <w:rPr>
          <w:sz w:val="22"/>
          <w:szCs w:val="22"/>
          <w:lang w:val="en-GB"/>
        </w:rPr>
        <w:t>Regulation (EU) No 231/2014 of the European Parliament and of the Council of 11 March 2014 establishing an Instrument for Pre-accession Assistance (IPA II);</w:t>
      </w:r>
    </w:p>
    <w:p w14:paraId="48D0B87C" w14:textId="77777777" w:rsidR="00F37C7C" w:rsidRPr="000121C5" w:rsidRDefault="00F37C7C" w:rsidP="000A7080">
      <w:pPr>
        <w:pStyle w:val="Blockquote"/>
        <w:ind w:left="0" w:right="0"/>
        <w:jc w:val="both"/>
        <w:rPr>
          <w:sz w:val="22"/>
          <w:szCs w:val="22"/>
          <w:lang w:val="en-GB"/>
        </w:rPr>
      </w:pPr>
      <w:r w:rsidRPr="000121C5">
        <w:rPr>
          <w:sz w:val="22"/>
          <w:szCs w:val="22"/>
          <w:lang w:val="en-GB"/>
        </w:rPr>
        <w:t>Commission Implementing Regulation (EU) No 447/2014 of 2 May 2014 on the specific rules for implementing Regulation (EU) No 231/2014 of the European Parliament and of the Council establishing an Instrument for Pre-accession assistance (IPA II);</w:t>
      </w:r>
    </w:p>
    <w:p w14:paraId="0A423DE6" w14:textId="77777777" w:rsidR="00F37C7C" w:rsidRPr="004335D9" w:rsidRDefault="00F37C7C" w:rsidP="000A7080">
      <w:pPr>
        <w:pStyle w:val="Blockquote"/>
        <w:ind w:left="0" w:right="0"/>
        <w:jc w:val="both"/>
        <w:rPr>
          <w:sz w:val="22"/>
          <w:szCs w:val="22"/>
          <w:highlight w:val="lightGray"/>
          <w:lang w:val="en-GB"/>
        </w:rPr>
      </w:pPr>
      <w:r w:rsidRPr="000121C5">
        <w:rPr>
          <w:sz w:val="22"/>
          <w:szCs w:val="22"/>
          <w:lang w:val="en-GB"/>
        </w:rPr>
        <w:t>Regulation (EU) No 1303/2013 of the European Parliament and of the Council of 17 December 2013, and specifically Annex XII: Information and Communication on Support from the EU Funds</w:t>
      </w:r>
    </w:p>
    <w:p w14:paraId="2A4D53A8" w14:textId="7227C258" w:rsidR="00F37C7C" w:rsidRPr="00EA0609" w:rsidRDefault="00F37C7C" w:rsidP="00F37C7C">
      <w:pPr>
        <w:ind w:left="426" w:hanging="426"/>
        <w:rPr>
          <w:b/>
          <w:sz w:val="22"/>
          <w:szCs w:val="22"/>
          <w:lang w:val="en-GB"/>
        </w:rPr>
      </w:pPr>
      <w:r>
        <w:rPr>
          <w:b/>
          <w:sz w:val="22"/>
          <w:szCs w:val="22"/>
          <w:lang w:val="en-GB"/>
        </w:rPr>
        <w:t>2</w:t>
      </w:r>
      <w:r w:rsidR="00F642F1">
        <w:rPr>
          <w:b/>
          <w:sz w:val="22"/>
          <w:szCs w:val="22"/>
          <w:lang w:val="en-GB"/>
        </w:rPr>
        <w:t>1</w:t>
      </w:r>
      <w:r>
        <w:rPr>
          <w:b/>
          <w:sz w:val="22"/>
          <w:szCs w:val="22"/>
          <w:lang w:val="en-GB"/>
        </w:rPr>
        <w:t>.</w:t>
      </w:r>
      <w:r>
        <w:rPr>
          <w:b/>
          <w:sz w:val="22"/>
          <w:szCs w:val="22"/>
          <w:lang w:val="en-GB"/>
        </w:rPr>
        <w:tab/>
      </w:r>
      <w:r w:rsidRPr="00EA0609">
        <w:rPr>
          <w:b/>
          <w:sz w:val="22"/>
          <w:szCs w:val="22"/>
          <w:lang w:val="en-GB"/>
        </w:rPr>
        <w:t xml:space="preserve">Additional </w:t>
      </w:r>
      <w:r>
        <w:rPr>
          <w:b/>
          <w:sz w:val="22"/>
          <w:szCs w:val="22"/>
          <w:lang w:val="en-GB"/>
        </w:rPr>
        <w:t>i</w:t>
      </w:r>
      <w:r w:rsidRPr="00EA0609">
        <w:rPr>
          <w:b/>
          <w:sz w:val="22"/>
          <w:szCs w:val="22"/>
          <w:lang w:val="en-GB"/>
        </w:rPr>
        <w:t>nformation</w:t>
      </w:r>
    </w:p>
    <w:p w14:paraId="738F2939" w14:textId="77777777" w:rsidR="00F37C7C" w:rsidRPr="00EA0609" w:rsidRDefault="00F37C7C" w:rsidP="000A7080">
      <w:pPr>
        <w:rPr>
          <w:i/>
          <w:lang w:val="en-GB"/>
        </w:rPr>
      </w:pPr>
      <w:r w:rsidRPr="009D7E12">
        <w:rPr>
          <w:sz w:val="22"/>
          <w:szCs w:val="22"/>
          <w:lang w:val="en-GB"/>
        </w:rPr>
        <w:t xml:space="preserve">Financial data to be provided by the candidate in the standard application form </w:t>
      </w:r>
      <w:r>
        <w:rPr>
          <w:sz w:val="22"/>
          <w:szCs w:val="22"/>
          <w:lang w:val="en-GB"/>
        </w:rPr>
        <w:t xml:space="preserve">or the tenderer in the tender form </w:t>
      </w:r>
      <w:r w:rsidRPr="009D7E12">
        <w:rPr>
          <w:sz w:val="22"/>
          <w:szCs w:val="22"/>
          <w:lang w:val="en-GB"/>
        </w:rPr>
        <w:t>must be expressed in</w:t>
      </w:r>
      <w:r>
        <w:rPr>
          <w:sz w:val="22"/>
          <w:szCs w:val="22"/>
          <w:lang w:val="en-GB"/>
        </w:rPr>
        <w:t xml:space="preserve"> EUR</w:t>
      </w:r>
      <w:r w:rsidRPr="009D7E12">
        <w:rPr>
          <w:sz w:val="22"/>
          <w:szCs w:val="22"/>
          <w:lang w:val="en-GB"/>
        </w:rPr>
        <w:t>. If applicable, where a candidate refers to amounts originally expressed in a different currency, the conversion to</w:t>
      </w:r>
      <w:r>
        <w:rPr>
          <w:sz w:val="22"/>
          <w:szCs w:val="22"/>
          <w:lang w:val="en-GB"/>
        </w:rPr>
        <w:t xml:space="preserve"> EUR </w:t>
      </w:r>
      <w:r w:rsidRPr="009D7E12">
        <w:rPr>
          <w:sz w:val="22"/>
          <w:szCs w:val="22"/>
          <w:lang w:val="en-GB"/>
        </w:rPr>
        <w:t xml:space="preserve">shall be made in accordance with the </w:t>
      </w:r>
      <w:proofErr w:type="spellStart"/>
      <w:r w:rsidRPr="009D7E12">
        <w:rPr>
          <w:sz w:val="22"/>
          <w:szCs w:val="22"/>
          <w:lang w:val="en-GB"/>
        </w:rPr>
        <w:t>InforEuro</w:t>
      </w:r>
      <w:proofErr w:type="spellEnd"/>
      <w:r w:rsidRPr="009D7E12">
        <w:rPr>
          <w:sz w:val="22"/>
          <w:szCs w:val="22"/>
          <w:lang w:val="en-GB"/>
        </w:rPr>
        <w:t xml:space="preserve"> exchange rate of</w:t>
      </w:r>
      <w:r>
        <w:rPr>
          <w:sz w:val="22"/>
          <w:szCs w:val="22"/>
          <w:lang w:val="en-GB"/>
        </w:rPr>
        <w:t xml:space="preserve"> the month when the tender procedure has been launched</w:t>
      </w:r>
      <w:r w:rsidRPr="009D7E12">
        <w:rPr>
          <w:sz w:val="22"/>
          <w:szCs w:val="22"/>
          <w:lang w:val="en-GB"/>
        </w:rPr>
        <w:t xml:space="preserve">, which can be found at the following address: </w:t>
      </w:r>
      <w:hyperlink r:id="rId18" w:history="1">
        <w:r w:rsidRPr="009D7E12">
          <w:rPr>
            <w:rStyle w:val="Hyperlink"/>
            <w:sz w:val="22"/>
            <w:szCs w:val="22"/>
            <w:lang w:val="en-GB"/>
          </w:rPr>
          <w:t>http://ec.europa.eu/budget/graphs/inforeuro.html</w:t>
        </w:r>
      </w:hyperlink>
      <w:r>
        <w:rPr>
          <w:b/>
          <w:sz w:val="22"/>
          <w:szCs w:val="22"/>
          <w:lang w:val="en-GB"/>
        </w:rPr>
        <w:tab/>
      </w:r>
    </w:p>
    <w:p w14:paraId="3538A5F5" w14:textId="77777777" w:rsidR="00FE4894" w:rsidRDefault="00FE4894" w:rsidP="0027680E">
      <w:pPr>
        <w:pStyle w:val="PRAGHeading2"/>
        <w:numPr>
          <w:ilvl w:val="0"/>
          <w:numId w:val="0"/>
        </w:numPr>
        <w:spacing w:after="240"/>
        <w:ind w:left="284"/>
        <w:jc w:val="center"/>
        <w:rPr>
          <w:rStyle w:val="eop"/>
          <w:color w:val="000000"/>
          <w:sz w:val="22"/>
          <w:szCs w:val="22"/>
          <w:shd w:val="clear" w:color="auto" w:fill="FFFFFF"/>
          <w:lang w:val="en-GB"/>
        </w:rPr>
      </w:pPr>
    </w:p>
    <w:p w14:paraId="2FB5DE06" w14:textId="77777777" w:rsidR="00F37C7C" w:rsidRDefault="00F37C7C" w:rsidP="0027680E">
      <w:pPr>
        <w:pStyle w:val="PRAGHeading2"/>
        <w:numPr>
          <w:ilvl w:val="0"/>
          <w:numId w:val="0"/>
        </w:numPr>
        <w:spacing w:after="240"/>
        <w:ind w:left="284"/>
        <w:jc w:val="center"/>
        <w:rPr>
          <w:rStyle w:val="eop"/>
          <w:color w:val="000000"/>
          <w:sz w:val="22"/>
          <w:szCs w:val="22"/>
          <w:shd w:val="clear" w:color="auto" w:fill="FFFFFF"/>
          <w:lang w:val="en-GB"/>
        </w:rPr>
      </w:pPr>
    </w:p>
    <w:p w14:paraId="568587C1" w14:textId="77777777" w:rsidR="00F37C7C" w:rsidRDefault="00F37C7C" w:rsidP="0027680E">
      <w:pPr>
        <w:pStyle w:val="PRAGHeading2"/>
        <w:numPr>
          <w:ilvl w:val="0"/>
          <w:numId w:val="0"/>
        </w:numPr>
        <w:spacing w:after="240"/>
        <w:ind w:left="284"/>
        <w:jc w:val="center"/>
        <w:rPr>
          <w:rStyle w:val="eop"/>
          <w:color w:val="000000"/>
          <w:sz w:val="22"/>
          <w:szCs w:val="22"/>
          <w:shd w:val="clear" w:color="auto" w:fill="FFFFFF"/>
          <w:lang w:val="en-GB"/>
        </w:rPr>
      </w:pPr>
    </w:p>
    <w:p w14:paraId="04F91FF2" w14:textId="5BB5EB53" w:rsidR="00EA0609" w:rsidRPr="00EA0609" w:rsidRDefault="00BA29BB" w:rsidP="00F37C7C">
      <w:pPr>
        <w:pStyle w:val="PRAGHeading2"/>
        <w:numPr>
          <w:ilvl w:val="0"/>
          <w:numId w:val="0"/>
        </w:numPr>
        <w:spacing w:after="240"/>
        <w:ind w:left="284"/>
        <w:jc w:val="center"/>
        <w:rPr>
          <w:i/>
          <w:lang w:val="en-GB"/>
        </w:rPr>
      </w:pPr>
      <w:r w:rsidRPr="00075D67">
        <w:rPr>
          <w:rStyle w:val="eop"/>
          <w:color w:val="000000"/>
          <w:sz w:val="22"/>
          <w:szCs w:val="22"/>
          <w:shd w:val="clear" w:color="auto" w:fill="FFFFFF"/>
          <w:lang w:val="en-GB"/>
        </w:rPr>
        <w:br/>
      </w:r>
    </w:p>
    <w:sectPr w:rsidR="00EA0609" w:rsidRPr="00EA0609">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B2320" w14:textId="77777777" w:rsidR="00D8201D" w:rsidRDefault="00D8201D" w:rsidP="000A4362">
      <w:pPr>
        <w:spacing w:before="0" w:after="0"/>
      </w:pPr>
      <w:r>
        <w:separator/>
      </w:r>
    </w:p>
  </w:endnote>
  <w:endnote w:type="continuationSeparator" w:id="0">
    <w:p w14:paraId="3B3DC11D" w14:textId="77777777" w:rsidR="00D8201D" w:rsidRDefault="00D8201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1F588BCE"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020081">
      <w:rPr>
        <w:noProof/>
        <w:sz w:val="18"/>
        <w:szCs w:val="18"/>
        <w:lang w:val="en-GB"/>
      </w:rPr>
      <w:t>3</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020081">
      <w:rPr>
        <w:noProof/>
        <w:sz w:val="18"/>
        <w:szCs w:val="18"/>
        <w:lang w:val="en-GB"/>
      </w:rPr>
      <w:t>7</w:t>
    </w:r>
    <w:r>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CD741" w14:textId="77777777" w:rsidR="00D8201D" w:rsidRDefault="00D8201D" w:rsidP="000A4362">
      <w:pPr>
        <w:spacing w:before="0" w:after="0"/>
      </w:pPr>
      <w:r>
        <w:separator/>
      </w:r>
    </w:p>
  </w:footnote>
  <w:footnote w:type="continuationSeparator" w:id="0">
    <w:p w14:paraId="131E69A8" w14:textId="77777777" w:rsidR="00D8201D" w:rsidRDefault="00D8201D" w:rsidP="000A4362">
      <w:pPr>
        <w:spacing w:before="0" w:after="0"/>
      </w:pPr>
      <w:r>
        <w:continuationSeparator/>
      </w:r>
    </w:p>
  </w:footnote>
  <w:footnote w:id="1">
    <w:p w14:paraId="562D5DB3" w14:textId="77777777" w:rsidR="00F37C7C" w:rsidRPr="00C66BF3" w:rsidRDefault="00F37C7C" w:rsidP="00F37C7C">
      <w:pPr>
        <w:pStyle w:val="FootnoteText"/>
      </w:pPr>
      <w:r>
        <w:rPr>
          <w:rStyle w:val="FootnoteReference"/>
        </w:rPr>
        <w:footnoteRef/>
      </w:r>
      <w:r>
        <w:t xml:space="preserve"> </w:t>
      </w:r>
      <w:r w:rsidRPr="00C66BF3">
        <w:t>It is recommended to use registered mail in case the postmark would not be readable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B3068" w14:textId="56C7482A" w:rsidR="00822897" w:rsidRPr="001269D6" w:rsidRDefault="00822897" w:rsidP="00822897">
    <w:pPr>
      <w:jc w:val="right"/>
    </w:pPr>
    <w:bookmarkStart w:id="3" w:name="_Hlk178773126"/>
    <w:r>
      <w:rPr>
        <w:noProof/>
        <w:snapToGrid/>
      </w:rPr>
      <w:drawing>
        <wp:anchor distT="0" distB="0" distL="114300" distR="114300" simplePos="0" relativeHeight="251657216" behindDoc="0" locked="0" layoutInCell="1" allowOverlap="1" wp14:anchorId="5388EF90" wp14:editId="4E83E94A">
          <wp:simplePos x="0" y="0"/>
          <wp:positionH relativeFrom="column">
            <wp:posOffset>-603250</wp:posOffset>
          </wp:positionH>
          <wp:positionV relativeFrom="paragraph">
            <wp:posOffset>-275590</wp:posOffset>
          </wp:positionV>
          <wp:extent cx="2857500" cy="866775"/>
          <wp:effectExtent l="0" t="0" r="0" b="0"/>
          <wp:wrapThrough wrapText="bothSides">
            <wp:wrapPolygon edited="0">
              <wp:start x="8928" y="2374"/>
              <wp:lineTo x="864" y="4747"/>
              <wp:lineTo x="864" y="9969"/>
              <wp:lineTo x="8928" y="10919"/>
              <wp:lineTo x="1872" y="13292"/>
              <wp:lineTo x="720" y="14242"/>
              <wp:lineTo x="720" y="18989"/>
              <wp:lineTo x="9792" y="18989"/>
              <wp:lineTo x="9936" y="18040"/>
              <wp:lineTo x="13104" y="10919"/>
              <wp:lineTo x="20592" y="9969"/>
              <wp:lineTo x="20592" y="5222"/>
              <wp:lineTo x="13104" y="2374"/>
              <wp:lineTo x="8928" y="2374"/>
            </wp:wrapPolygon>
          </wp:wrapThrough>
          <wp:docPr id="18517079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866775"/>
                  </a:xfrm>
                  <a:prstGeom prst="rect">
                    <a:avLst/>
                  </a:prstGeom>
                  <a:noFill/>
                </pic:spPr>
              </pic:pic>
            </a:graphicData>
          </a:graphic>
          <wp14:sizeRelH relativeFrom="page">
            <wp14:pctWidth>0</wp14:pctWidth>
          </wp14:sizeRelH>
          <wp14:sizeRelV relativeFrom="page">
            <wp14:pctHeight>0</wp14:pctHeight>
          </wp14:sizeRelV>
        </wp:anchor>
      </w:drawing>
    </w:r>
    <w:r w:rsidRPr="001269D6">
      <w:t>"</w:t>
    </w:r>
    <w:proofErr w:type="spellStart"/>
    <w:r w:rsidRPr="001269D6">
      <w:t>ADAPTVitis</w:t>
    </w:r>
    <w:proofErr w:type="spellEnd"/>
    <w:r w:rsidRPr="001269D6">
      <w:t>" HR–RS00188 - TD 02</w:t>
    </w:r>
  </w:p>
  <w:bookmarkEnd w:id="3"/>
  <w:p w14:paraId="1FAB6EE4" w14:textId="5FC2FF41"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E408BB"/>
    <w:multiLevelType w:val="hybridMultilevel"/>
    <w:tmpl w:val="47A4D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A2376A"/>
    <w:multiLevelType w:val="hybridMultilevel"/>
    <w:tmpl w:val="5C082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E227FF5"/>
    <w:multiLevelType w:val="hybridMultilevel"/>
    <w:tmpl w:val="55E48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3"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DDA62E9"/>
    <w:multiLevelType w:val="hybridMultilevel"/>
    <w:tmpl w:val="C0D07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207881917">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457600257">
    <w:abstractNumId w:val="15"/>
  </w:num>
  <w:num w:numId="3" w16cid:durableId="1403526502">
    <w:abstractNumId w:val="6"/>
  </w:num>
  <w:num w:numId="4" w16cid:durableId="1410275184">
    <w:abstractNumId w:val="14"/>
  </w:num>
  <w:num w:numId="5" w16cid:durableId="747925280">
    <w:abstractNumId w:val="12"/>
  </w:num>
  <w:num w:numId="6" w16cid:durableId="68312600">
    <w:abstractNumId w:val="20"/>
  </w:num>
  <w:num w:numId="7" w16cid:durableId="882212437">
    <w:abstractNumId w:val="5"/>
  </w:num>
  <w:num w:numId="8" w16cid:durableId="933974134">
    <w:abstractNumId w:val="7"/>
  </w:num>
  <w:num w:numId="9" w16cid:durableId="1696929708">
    <w:abstractNumId w:val="21"/>
  </w:num>
  <w:num w:numId="10" w16cid:durableId="494882832">
    <w:abstractNumId w:val="19"/>
  </w:num>
  <w:num w:numId="11" w16cid:durableId="324093006">
    <w:abstractNumId w:val="13"/>
  </w:num>
  <w:num w:numId="12" w16cid:durableId="2086370279">
    <w:abstractNumId w:val="5"/>
  </w:num>
  <w:num w:numId="13" w16cid:durableId="481508692">
    <w:abstractNumId w:val="22"/>
  </w:num>
  <w:num w:numId="14" w16cid:durableId="2060472380">
    <w:abstractNumId w:val="5"/>
    <w:lvlOverride w:ilvl="0">
      <w:startOverride w:val="1"/>
    </w:lvlOverride>
  </w:num>
  <w:num w:numId="15" w16cid:durableId="80408523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438721214">
    <w:abstractNumId w:val="10"/>
  </w:num>
  <w:num w:numId="17" w16cid:durableId="2043742246">
    <w:abstractNumId w:val="8"/>
  </w:num>
  <w:num w:numId="18" w16cid:durableId="202602047">
    <w:abstractNumId w:val="18"/>
  </w:num>
  <w:num w:numId="19" w16cid:durableId="454367302">
    <w:abstractNumId w:val="2"/>
  </w:num>
  <w:num w:numId="20" w16cid:durableId="28678838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759716621">
    <w:abstractNumId w:val="17"/>
  </w:num>
  <w:num w:numId="22" w16cid:durableId="1625118933">
    <w:abstractNumId w:val="9"/>
  </w:num>
  <w:num w:numId="23" w16cid:durableId="2092847625">
    <w:abstractNumId w:val="4"/>
  </w:num>
  <w:num w:numId="24" w16cid:durableId="880437576">
    <w:abstractNumId w:val="16"/>
  </w:num>
  <w:num w:numId="25" w16cid:durableId="1425347737">
    <w:abstractNumId w:val="3"/>
  </w:num>
  <w:num w:numId="26" w16cid:durableId="13634820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4E5B"/>
    <w:rsid w:val="00005D6E"/>
    <w:rsid w:val="00011A91"/>
    <w:rsid w:val="00017B82"/>
    <w:rsid w:val="00020081"/>
    <w:rsid w:val="00023A65"/>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A7080"/>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25159"/>
    <w:rsid w:val="00132014"/>
    <w:rsid w:val="0013411D"/>
    <w:rsid w:val="0013491C"/>
    <w:rsid w:val="00134B94"/>
    <w:rsid w:val="001350A5"/>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C38B6"/>
    <w:rsid w:val="001D39A5"/>
    <w:rsid w:val="001D48A3"/>
    <w:rsid w:val="001D5AEF"/>
    <w:rsid w:val="001E13D9"/>
    <w:rsid w:val="001E29CD"/>
    <w:rsid w:val="001E6AD9"/>
    <w:rsid w:val="00202A86"/>
    <w:rsid w:val="00204ACF"/>
    <w:rsid w:val="002108FA"/>
    <w:rsid w:val="00213134"/>
    <w:rsid w:val="002142D5"/>
    <w:rsid w:val="0021495F"/>
    <w:rsid w:val="00214B40"/>
    <w:rsid w:val="002176E3"/>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4304"/>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662BE"/>
    <w:rsid w:val="00372DFC"/>
    <w:rsid w:val="00373871"/>
    <w:rsid w:val="00373976"/>
    <w:rsid w:val="00383B48"/>
    <w:rsid w:val="003907E7"/>
    <w:rsid w:val="003916E7"/>
    <w:rsid w:val="00393CB9"/>
    <w:rsid w:val="00397E27"/>
    <w:rsid w:val="003A0A41"/>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2C3A"/>
    <w:rsid w:val="004A62F5"/>
    <w:rsid w:val="004B26C1"/>
    <w:rsid w:val="004B691C"/>
    <w:rsid w:val="004C05B2"/>
    <w:rsid w:val="004C0BF1"/>
    <w:rsid w:val="004C2082"/>
    <w:rsid w:val="004C39EE"/>
    <w:rsid w:val="004D2C96"/>
    <w:rsid w:val="004E1551"/>
    <w:rsid w:val="004E1930"/>
    <w:rsid w:val="004F27F5"/>
    <w:rsid w:val="004F48AA"/>
    <w:rsid w:val="004F7108"/>
    <w:rsid w:val="005120A1"/>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043D"/>
    <w:rsid w:val="00571A51"/>
    <w:rsid w:val="00574013"/>
    <w:rsid w:val="0057553C"/>
    <w:rsid w:val="00580EED"/>
    <w:rsid w:val="00581FD0"/>
    <w:rsid w:val="0058609B"/>
    <w:rsid w:val="00590680"/>
    <w:rsid w:val="005A0A93"/>
    <w:rsid w:val="005B412A"/>
    <w:rsid w:val="005B6500"/>
    <w:rsid w:val="005B674F"/>
    <w:rsid w:val="005C4AFB"/>
    <w:rsid w:val="005D0163"/>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328A"/>
    <w:rsid w:val="006B6683"/>
    <w:rsid w:val="006B6E79"/>
    <w:rsid w:val="006C2E49"/>
    <w:rsid w:val="006C646F"/>
    <w:rsid w:val="006D316A"/>
    <w:rsid w:val="006E3521"/>
    <w:rsid w:val="006F2C5A"/>
    <w:rsid w:val="006F3C83"/>
    <w:rsid w:val="006F71B5"/>
    <w:rsid w:val="007116B8"/>
    <w:rsid w:val="00714D39"/>
    <w:rsid w:val="00725716"/>
    <w:rsid w:val="00726596"/>
    <w:rsid w:val="00727C2D"/>
    <w:rsid w:val="00737453"/>
    <w:rsid w:val="007413BF"/>
    <w:rsid w:val="00743351"/>
    <w:rsid w:val="00744127"/>
    <w:rsid w:val="00744225"/>
    <w:rsid w:val="0074581A"/>
    <w:rsid w:val="007508E8"/>
    <w:rsid w:val="00755178"/>
    <w:rsid w:val="00757383"/>
    <w:rsid w:val="00757D90"/>
    <w:rsid w:val="00763BB6"/>
    <w:rsid w:val="00765594"/>
    <w:rsid w:val="00767FFB"/>
    <w:rsid w:val="00780332"/>
    <w:rsid w:val="007860A4"/>
    <w:rsid w:val="00787720"/>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1B57"/>
    <w:rsid w:val="007D50CE"/>
    <w:rsid w:val="007D6573"/>
    <w:rsid w:val="007E265D"/>
    <w:rsid w:val="007E559C"/>
    <w:rsid w:val="007F5EFA"/>
    <w:rsid w:val="0080696C"/>
    <w:rsid w:val="00812890"/>
    <w:rsid w:val="0082086B"/>
    <w:rsid w:val="00822897"/>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3047"/>
    <w:rsid w:val="008D5230"/>
    <w:rsid w:val="008D6D3D"/>
    <w:rsid w:val="008E0DCE"/>
    <w:rsid w:val="008E28A7"/>
    <w:rsid w:val="008F3096"/>
    <w:rsid w:val="008F7B39"/>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679BD"/>
    <w:rsid w:val="009714FD"/>
    <w:rsid w:val="00971DFA"/>
    <w:rsid w:val="0097292E"/>
    <w:rsid w:val="009752D7"/>
    <w:rsid w:val="00990E03"/>
    <w:rsid w:val="00993F6E"/>
    <w:rsid w:val="009A3249"/>
    <w:rsid w:val="009A3842"/>
    <w:rsid w:val="009A4D8A"/>
    <w:rsid w:val="009B567D"/>
    <w:rsid w:val="009C03DB"/>
    <w:rsid w:val="009C0C1C"/>
    <w:rsid w:val="009C2BB4"/>
    <w:rsid w:val="009D15E6"/>
    <w:rsid w:val="009D3281"/>
    <w:rsid w:val="009D7FFE"/>
    <w:rsid w:val="009E4FF5"/>
    <w:rsid w:val="009E56B5"/>
    <w:rsid w:val="009F4C6C"/>
    <w:rsid w:val="009F4F7A"/>
    <w:rsid w:val="009F587C"/>
    <w:rsid w:val="00A02A0B"/>
    <w:rsid w:val="00A0441B"/>
    <w:rsid w:val="00A04B5A"/>
    <w:rsid w:val="00A065F7"/>
    <w:rsid w:val="00A067E5"/>
    <w:rsid w:val="00A170AB"/>
    <w:rsid w:val="00A17C31"/>
    <w:rsid w:val="00A21D6F"/>
    <w:rsid w:val="00A2442F"/>
    <w:rsid w:val="00A27427"/>
    <w:rsid w:val="00A3658B"/>
    <w:rsid w:val="00A416F8"/>
    <w:rsid w:val="00A42342"/>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4E51"/>
    <w:rsid w:val="00B8504C"/>
    <w:rsid w:val="00B92BE1"/>
    <w:rsid w:val="00B932B7"/>
    <w:rsid w:val="00B96C8B"/>
    <w:rsid w:val="00BA29BB"/>
    <w:rsid w:val="00BA3264"/>
    <w:rsid w:val="00BB1F6B"/>
    <w:rsid w:val="00BC0099"/>
    <w:rsid w:val="00BC08E6"/>
    <w:rsid w:val="00BC39F1"/>
    <w:rsid w:val="00BC6B0E"/>
    <w:rsid w:val="00BD0381"/>
    <w:rsid w:val="00BE10D7"/>
    <w:rsid w:val="00C12078"/>
    <w:rsid w:val="00C14D32"/>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376"/>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50B"/>
    <w:rsid w:val="00D067DA"/>
    <w:rsid w:val="00D23AC1"/>
    <w:rsid w:val="00D34AE3"/>
    <w:rsid w:val="00D3714A"/>
    <w:rsid w:val="00D3784C"/>
    <w:rsid w:val="00D404E7"/>
    <w:rsid w:val="00D56FD2"/>
    <w:rsid w:val="00D6605F"/>
    <w:rsid w:val="00D70F25"/>
    <w:rsid w:val="00D7181A"/>
    <w:rsid w:val="00D777E5"/>
    <w:rsid w:val="00D80B98"/>
    <w:rsid w:val="00D8201D"/>
    <w:rsid w:val="00D8757C"/>
    <w:rsid w:val="00D91AE4"/>
    <w:rsid w:val="00DB36EF"/>
    <w:rsid w:val="00DB778F"/>
    <w:rsid w:val="00DC6227"/>
    <w:rsid w:val="00DD3726"/>
    <w:rsid w:val="00DE7074"/>
    <w:rsid w:val="00DF02A7"/>
    <w:rsid w:val="00E04B6B"/>
    <w:rsid w:val="00E14E17"/>
    <w:rsid w:val="00E17808"/>
    <w:rsid w:val="00E17A51"/>
    <w:rsid w:val="00E23C0A"/>
    <w:rsid w:val="00E26496"/>
    <w:rsid w:val="00E27999"/>
    <w:rsid w:val="00E31865"/>
    <w:rsid w:val="00E335E3"/>
    <w:rsid w:val="00E34488"/>
    <w:rsid w:val="00E36F85"/>
    <w:rsid w:val="00E42B75"/>
    <w:rsid w:val="00E42D34"/>
    <w:rsid w:val="00E4634D"/>
    <w:rsid w:val="00E4799E"/>
    <w:rsid w:val="00E51E24"/>
    <w:rsid w:val="00E64736"/>
    <w:rsid w:val="00E65D08"/>
    <w:rsid w:val="00E75400"/>
    <w:rsid w:val="00E8713A"/>
    <w:rsid w:val="00E87BA5"/>
    <w:rsid w:val="00E916CF"/>
    <w:rsid w:val="00EA0467"/>
    <w:rsid w:val="00EA0609"/>
    <w:rsid w:val="00EA349D"/>
    <w:rsid w:val="00EA4DA5"/>
    <w:rsid w:val="00EA6C7C"/>
    <w:rsid w:val="00EB3BD5"/>
    <w:rsid w:val="00EC1F52"/>
    <w:rsid w:val="00EC56E1"/>
    <w:rsid w:val="00ED1D55"/>
    <w:rsid w:val="00ED3002"/>
    <w:rsid w:val="00ED3026"/>
    <w:rsid w:val="00EF0F07"/>
    <w:rsid w:val="00EF2B9D"/>
    <w:rsid w:val="00EF7595"/>
    <w:rsid w:val="00EF76E6"/>
    <w:rsid w:val="00F15DF2"/>
    <w:rsid w:val="00F223EA"/>
    <w:rsid w:val="00F235BD"/>
    <w:rsid w:val="00F33CD5"/>
    <w:rsid w:val="00F36595"/>
    <w:rsid w:val="00F37C7C"/>
    <w:rsid w:val="00F47AC0"/>
    <w:rsid w:val="00F51255"/>
    <w:rsid w:val="00F60389"/>
    <w:rsid w:val="00F642F1"/>
    <w:rsid w:val="00F65592"/>
    <w:rsid w:val="00F72244"/>
    <w:rsid w:val="00F72408"/>
    <w:rsid w:val="00F74766"/>
    <w:rsid w:val="00F747E1"/>
    <w:rsid w:val="00F87B91"/>
    <w:rsid w:val="00F90C25"/>
    <w:rsid w:val="00F91380"/>
    <w:rsid w:val="00F93AB7"/>
    <w:rsid w:val="00F96B0B"/>
    <w:rsid w:val="00FA24DB"/>
    <w:rsid w:val="00FA6D64"/>
    <w:rsid w:val="00FB1963"/>
    <w:rsid w:val="00FB3733"/>
    <w:rsid w:val="00FB3AEC"/>
    <w:rsid w:val="00FB4D99"/>
    <w:rsid w:val="00FB780D"/>
    <w:rsid w:val="00FD1C91"/>
    <w:rsid w:val="00FD2236"/>
    <w:rsid w:val="00FE3A8C"/>
    <w:rsid w:val="00FE4894"/>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C1861E80-6689-4FFB-AF98-FDDD9386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3">
    <w:name w:val="heading 3"/>
    <w:basedOn w:val="Normal"/>
    <w:next w:val="Normal"/>
    <w:link w:val="Heading3Char"/>
    <w:uiPriority w:val="9"/>
    <w:unhideWhenUsed/>
    <w:qFormat/>
    <w:rsid w:val="00F37C7C"/>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uiPriority w:val="22"/>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character" w:customStyle="1" w:styleId="Heading3Char">
    <w:name w:val="Heading 3 Char"/>
    <w:basedOn w:val="DefaultParagraphFont"/>
    <w:link w:val="Heading3"/>
    <w:uiPriority w:val="9"/>
    <w:rsid w:val="00F37C7C"/>
    <w:rPr>
      <w:rFonts w:asciiTheme="majorHAnsi" w:eastAsiaTheme="majorEastAsia" w:hAnsiTheme="majorHAnsi" w:cstheme="majorBidi"/>
      <w:snapToGrid w:val="0"/>
      <w:color w:val="243F60" w:themeColor="accent1" w:themeShade="7F"/>
      <w:sz w:val="24"/>
      <w:szCs w:val="24"/>
      <w:lang w:val="en-US"/>
    </w:rPr>
  </w:style>
  <w:style w:type="character" w:customStyle="1" w:styleId="UnresolvedMention1">
    <w:name w:val="Unresolved Mention1"/>
    <w:basedOn w:val="DefaultParagraphFont"/>
    <w:uiPriority w:val="99"/>
    <w:semiHidden/>
    <w:unhideWhenUsed/>
    <w:rsid w:val="00F37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427994226">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j.uns.ac.rs" TargetMode="External"/><Relationship Id="rId13" Type="http://schemas.openxmlformats.org/officeDocument/2006/relationships/hyperlink" Target="mailto:mirjana.railic@polj.edu.rs" TargetMode="External"/><Relationship Id="rId18" Type="http://schemas.openxmlformats.org/officeDocument/2006/relationships/hyperlink" Target="http://ec.europa.eu/budget/graphs/inforeuro.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c.europa.eu/europeaid/prag/document.do?isAnnexes=true" TargetMode="External"/><Relationship Id="rId17" Type="http://schemas.openxmlformats.org/officeDocument/2006/relationships/hyperlink" Target="http://www.interreg-croatia-serbia.eu/" TargetMode="External"/><Relationship Id="rId2" Type="http://schemas.openxmlformats.org/officeDocument/2006/relationships/numbering" Target="numbering.xml"/><Relationship Id="rId16" Type="http://schemas.openxmlformats.org/officeDocument/2006/relationships/hyperlink" Target="http://www.polj.uns.ac.r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peaid/prag/document.do?isAnnexes=true" TargetMode="External"/><Relationship Id="rId5" Type="http://schemas.openxmlformats.org/officeDocument/2006/relationships/webSettings" Target="webSettings.xml"/><Relationship Id="rId15" Type="http://schemas.openxmlformats.org/officeDocument/2006/relationships/hyperlink" Target="mailto:mirjana.railic@polj.edu.rs" TargetMode="External"/><Relationship Id="rId10" Type="http://schemas.openxmlformats.org/officeDocument/2006/relationships/hyperlink" Target="mailto:mirjana.railic@polj.edu.r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terreg-croatia-serbia.eu/" TargetMode="External"/><Relationship Id="rId14" Type="http://schemas.openxmlformats.org/officeDocument/2006/relationships/hyperlink" Target="mailto:mirjana.railic@polj.edu.r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9C2D2-E288-43AB-99D8-E552D453F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3596</TotalTime>
  <Pages>7</Pages>
  <Words>2986</Words>
  <Characters>17024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Damnjanovic, Jovica (RTM)</cp:lastModifiedBy>
  <cp:revision>196</cp:revision>
  <dcterms:created xsi:type="dcterms:W3CDTF">2020-07-14T13:39:00Z</dcterms:created>
  <dcterms:modified xsi:type="dcterms:W3CDTF">2024-10-02T14:28:00Z</dcterms:modified>
</cp:coreProperties>
</file>